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52498" w14:textId="14515498" w:rsidR="008C5B37" w:rsidRPr="003E6E01" w:rsidRDefault="008C5B37" w:rsidP="003E6E01">
      <w:pPr>
        <w:autoSpaceDE w:val="0"/>
        <w:autoSpaceDN w:val="0"/>
        <w:adjustRightInd w:val="0"/>
        <w:spacing w:line="600" w:lineRule="exact"/>
        <w:rPr>
          <w:rFonts w:ascii="黑体" w:eastAsia="黑体" w:hAnsi="黑体"/>
          <w:b/>
          <w:bCs/>
          <w:sz w:val="28"/>
          <w:szCs w:val="28"/>
        </w:rPr>
      </w:pPr>
      <w:r w:rsidRPr="003E6E01">
        <w:rPr>
          <w:rFonts w:ascii="黑体" w:eastAsia="黑体" w:hAnsi="黑体"/>
          <w:b/>
          <w:bCs/>
          <w:sz w:val="28"/>
          <w:szCs w:val="28"/>
        </w:rPr>
        <w:t>证券代码：</w:t>
      </w:r>
      <w:r w:rsidR="00A446A8" w:rsidRPr="003E6E01">
        <w:rPr>
          <w:rFonts w:ascii="黑体" w:eastAsia="黑体" w:hAnsi="黑体"/>
          <w:b/>
          <w:bCs/>
          <w:sz w:val="28"/>
          <w:szCs w:val="28"/>
        </w:rPr>
        <w:t>688159</w:t>
      </w:r>
      <w:r w:rsidRPr="003E6E01">
        <w:rPr>
          <w:rFonts w:ascii="黑体" w:eastAsia="黑体" w:hAnsi="黑体"/>
          <w:b/>
          <w:bCs/>
          <w:sz w:val="28"/>
          <w:szCs w:val="28"/>
        </w:rPr>
        <w:t xml:space="preserve">  </w:t>
      </w:r>
      <w:r w:rsidR="006F536C" w:rsidRPr="003E6E01">
        <w:rPr>
          <w:rFonts w:ascii="黑体" w:eastAsia="黑体" w:hAnsi="黑体"/>
          <w:b/>
          <w:bCs/>
          <w:sz w:val="28"/>
          <w:szCs w:val="28"/>
        </w:rPr>
        <w:t xml:space="preserve">  </w:t>
      </w:r>
      <w:r w:rsidRPr="003E6E01">
        <w:rPr>
          <w:rFonts w:ascii="黑体" w:eastAsia="黑体" w:hAnsi="黑体"/>
          <w:b/>
          <w:bCs/>
          <w:sz w:val="28"/>
          <w:szCs w:val="28"/>
        </w:rPr>
        <w:t>证券简称：</w:t>
      </w:r>
      <w:r w:rsidR="00A446A8" w:rsidRPr="003E6E01">
        <w:rPr>
          <w:rFonts w:ascii="黑体" w:eastAsia="黑体" w:hAnsi="黑体"/>
          <w:b/>
          <w:bCs/>
          <w:sz w:val="28"/>
          <w:szCs w:val="28"/>
        </w:rPr>
        <w:t>有方科技</w:t>
      </w:r>
      <w:r w:rsidR="006F536C" w:rsidRPr="003E6E01">
        <w:rPr>
          <w:rFonts w:ascii="黑体" w:eastAsia="黑体" w:hAnsi="黑体"/>
          <w:b/>
          <w:bCs/>
          <w:sz w:val="28"/>
          <w:szCs w:val="28"/>
        </w:rPr>
        <w:t xml:space="preserve">  </w:t>
      </w:r>
      <w:r w:rsidRPr="003E6E01">
        <w:rPr>
          <w:rFonts w:ascii="黑体" w:eastAsia="黑体" w:hAnsi="黑体"/>
          <w:b/>
          <w:bCs/>
          <w:sz w:val="28"/>
          <w:szCs w:val="28"/>
        </w:rPr>
        <w:t xml:space="preserve">  公告编号：</w:t>
      </w:r>
      <w:r w:rsidR="00A446A8" w:rsidRPr="003E6E01">
        <w:rPr>
          <w:rFonts w:ascii="黑体" w:eastAsia="黑体" w:hAnsi="黑体"/>
          <w:b/>
          <w:bCs/>
          <w:sz w:val="28"/>
          <w:szCs w:val="28"/>
        </w:rPr>
        <w:t>202</w:t>
      </w:r>
      <w:r w:rsidR="0033456B" w:rsidRPr="003E6E01">
        <w:rPr>
          <w:rFonts w:ascii="黑体" w:eastAsia="黑体" w:hAnsi="黑体" w:hint="eastAsia"/>
          <w:b/>
          <w:bCs/>
          <w:sz w:val="28"/>
          <w:szCs w:val="28"/>
        </w:rPr>
        <w:t>1</w:t>
      </w:r>
      <w:r w:rsidR="00A446A8" w:rsidRPr="003E6E01">
        <w:rPr>
          <w:rFonts w:ascii="黑体" w:eastAsia="黑体" w:hAnsi="黑体"/>
          <w:b/>
          <w:bCs/>
          <w:sz w:val="28"/>
          <w:szCs w:val="28"/>
        </w:rPr>
        <w:t>-</w:t>
      </w:r>
      <w:r w:rsidR="008E1DE8" w:rsidRPr="003E6E01">
        <w:rPr>
          <w:rFonts w:ascii="黑体" w:eastAsia="黑体" w:hAnsi="黑体"/>
          <w:b/>
          <w:bCs/>
          <w:sz w:val="28"/>
          <w:szCs w:val="28"/>
        </w:rPr>
        <w:t>0</w:t>
      </w:r>
      <w:r w:rsidR="00B6087E">
        <w:rPr>
          <w:rFonts w:ascii="黑体" w:eastAsia="黑体" w:hAnsi="黑体"/>
          <w:b/>
          <w:bCs/>
          <w:sz w:val="28"/>
          <w:szCs w:val="28"/>
        </w:rPr>
        <w:t>33</w:t>
      </w:r>
    </w:p>
    <w:p w14:paraId="43C9BDAD" w14:textId="77777777" w:rsidR="00A446A8" w:rsidRPr="00B662B3" w:rsidRDefault="00A446A8" w:rsidP="00837A17">
      <w:pPr>
        <w:autoSpaceDE w:val="0"/>
        <w:autoSpaceDN w:val="0"/>
        <w:adjustRightInd w:val="0"/>
        <w:spacing w:line="600" w:lineRule="exact"/>
        <w:jc w:val="center"/>
        <w:rPr>
          <w:rFonts w:eastAsia="仿宋_GB2312"/>
          <w:bCs/>
          <w:sz w:val="30"/>
          <w:szCs w:val="30"/>
        </w:rPr>
      </w:pPr>
    </w:p>
    <w:p w14:paraId="2D7E6340" w14:textId="77777777" w:rsidR="00A446A8" w:rsidRPr="00B662B3" w:rsidRDefault="00A446A8" w:rsidP="00837A17">
      <w:pPr>
        <w:autoSpaceDE w:val="0"/>
        <w:autoSpaceDN w:val="0"/>
        <w:adjustRightInd w:val="0"/>
        <w:spacing w:line="600" w:lineRule="exact"/>
        <w:jc w:val="center"/>
        <w:rPr>
          <w:rFonts w:eastAsia="黑体"/>
          <w:b/>
          <w:sz w:val="44"/>
          <w:szCs w:val="44"/>
        </w:rPr>
      </w:pPr>
      <w:r w:rsidRPr="00B662B3">
        <w:rPr>
          <w:rFonts w:eastAsia="黑体"/>
          <w:b/>
          <w:sz w:val="44"/>
          <w:szCs w:val="44"/>
        </w:rPr>
        <w:t>深圳市有方科技</w:t>
      </w:r>
      <w:r w:rsidR="008C5B37" w:rsidRPr="00B662B3">
        <w:rPr>
          <w:rFonts w:eastAsia="黑体"/>
          <w:b/>
          <w:sz w:val="44"/>
          <w:szCs w:val="44"/>
        </w:rPr>
        <w:t>股份有限公司</w:t>
      </w:r>
      <w:r w:rsidRPr="00B662B3">
        <w:rPr>
          <w:rFonts w:eastAsia="黑体"/>
          <w:b/>
          <w:sz w:val="44"/>
          <w:szCs w:val="44"/>
        </w:rPr>
        <w:t>关于</w:t>
      </w:r>
    </w:p>
    <w:p w14:paraId="64B25A13" w14:textId="5C2D6800" w:rsidR="008C5B37" w:rsidRPr="00B662B3" w:rsidRDefault="00DE71D9" w:rsidP="00837A17">
      <w:pPr>
        <w:autoSpaceDE w:val="0"/>
        <w:autoSpaceDN w:val="0"/>
        <w:adjustRightInd w:val="0"/>
        <w:spacing w:line="600" w:lineRule="exact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增加</w:t>
      </w:r>
      <w:r w:rsidR="00A446A8" w:rsidRPr="00B662B3">
        <w:rPr>
          <w:rFonts w:eastAsia="黑体"/>
          <w:b/>
          <w:sz w:val="44"/>
          <w:szCs w:val="44"/>
        </w:rPr>
        <w:t>预计</w:t>
      </w:r>
      <w:r w:rsidR="00A446A8" w:rsidRPr="00B662B3">
        <w:rPr>
          <w:rFonts w:eastAsia="黑体"/>
          <w:b/>
          <w:sz w:val="44"/>
          <w:szCs w:val="44"/>
        </w:rPr>
        <w:t>202</w:t>
      </w:r>
      <w:r w:rsidR="0033456B">
        <w:rPr>
          <w:rFonts w:eastAsia="黑体" w:hint="eastAsia"/>
          <w:b/>
          <w:sz w:val="44"/>
          <w:szCs w:val="44"/>
        </w:rPr>
        <w:t>1</w:t>
      </w:r>
      <w:r w:rsidR="00A446A8" w:rsidRPr="00B662B3">
        <w:rPr>
          <w:rFonts w:eastAsia="黑体"/>
          <w:b/>
          <w:sz w:val="44"/>
          <w:szCs w:val="44"/>
        </w:rPr>
        <w:t>年</w:t>
      </w:r>
      <w:r w:rsidR="008C5B37" w:rsidRPr="00B662B3">
        <w:rPr>
          <w:rFonts w:eastAsia="黑体"/>
          <w:b/>
          <w:sz w:val="44"/>
          <w:szCs w:val="44"/>
        </w:rPr>
        <w:t>日常</w:t>
      </w:r>
      <w:bookmarkStart w:id="0" w:name="_GoBack"/>
      <w:bookmarkEnd w:id="0"/>
      <w:r w:rsidR="008C5B37" w:rsidRPr="00B662B3">
        <w:rPr>
          <w:rFonts w:eastAsia="黑体"/>
          <w:b/>
          <w:sz w:val="44"/>
          <w:szCs w:val="44"/>
        </w:rPr>
        <w:t>关联交易</w:t>
      </w:r>
      <w:r w:rsidR="00A446A8" w:rsidRPr="00B662B3">
        <w:rPr>
          <w:rFonts w:eastAsia="黑体"/>
          <w:b/>
          <w:sz w:val="44"/>
          <w:szCs w:val="44"/>
        </w:rPr>
        <w:t>额度的</w:t>
      </w:r>
      <w:r w:rsidR="008C5B37" w:rsidRPr="00B662B3">
        <w:rPr>
          <w:rFonts w:eastAsia="黑体"/>
          <w:b/>
          <w:sz w:val="44"/>
          <w:szCs w:val="44"/>
        </w:rPr>
        <w:t>公告</w:t>
      </w:r>
    </w:p>
    <w:p w14:paraId="29368437" w14:textId="77777777" w:rsidR="008C5B37" w:rsidRPr="00B662B3" w:rsidRDefault="008C5B37" w:rsidP="00837A17">
      <w:pPr>
        <w:autoSpaceDE w:val="0"/>
        <w:autoSpaceDN w:val="0"/>
        <w:adjustRightInd w:val="0"/>
        <w:spacing w:line="600" w:lineRule="exact"/>
        <w:ind w:firstLineChars="200" w:firstLine="602"/>
        <w:jc w:val="center"/>
        <w:rPr>
          <w:rFonts w:eastAsia="仿宋_GB2312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C5B37" w:rsidRPr="00B662B3" w14:paraId="7CBF3878" w14:textId="77777777" w:rsidTr="008B40C2">
        <w:trPr>
          <w:trHeight w:val="1367"/>
          <w:jc w:val="center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A622" w14:textId="328CB445" w:rsidR="008C5B37" w:rsidRPr="008B40C2" w:rsidRDefault="008C5B37" w:rsidP="008B40C2">
            <w:pPr>
              <w:spacing w:line="360" w:lineRule="auto"/>
              <w:ind w:firstLineChars="200" w:firstLine="480"/>
              <w:rPr>
                <w:sz w:val="24"/>
              </w:rPr>
            </w:pPr>
            <w:r w:rsidRPr="008B40C2">
              <w:rPr>
                <w:sz w:val="24"/>
              </w:rPr>
              <w:t>本公司董事会及全体董事保证本公告内容不存在任何虚假记载、误导性陈述或者重大遗漏，并对其内容的真实性、准确性和完整性</w:t>
            </w:r>
            <w:r w:rsidR="00325A69" w:rsidRPr="008B40C2">
              <w:rPr>
                <w:sz w:val="24"/>
              </w:rPr>
              <w:t>依法</w:t>
            </w:r>
            <w:r w:rsidRPr="008B40C2">
              <w:rPr>
                <w:sz w:val="24"/>
              </w:rPr>
              <w:t>承担</w:t>
            </w:r>
            <w:r w:rsidR="00325A69" w:rsidRPr="008B40C2">
              <w:rPr>
                <w:sz w:val="24"/>
              </w:rPr>
              <w:t>法律</w:t>
            </w:r>
            <w:r w:rsidRPr="008B40C2">
              <w:rPr>
                <w:sz w:val="24"/>
              </w:rPr>
              <w:t>责任。</w:t>
            </w:r>
          </w:p>
        </w:tc>
      </w:tr>
    </w:tbl>
    <w:p w14:paraId="4EE656CB" w14:textId="77777777" w:rsidR="008C5B37" w:rsidRPr="00B662B3" w:rsidRDefault="008C5B37" w:rsidP="00837A17">
      <w:pPr>
        <w:autoSpaceDE w:val="0"/>
        <w:autoSpaceDN w:val="0"/>
        <w:adjustRightInd w:val="0"/>
        <w:spacing w:line="600" w:lineRule="exact"/>
        <w:ind w:firstLineChars="200" w:firstLine="600"/>
        <w:jc w:val="left"/>
        <w:rPr>
          <w:rFonts w:eastAsia="仿宋_GB2312"/>
          <w:sz w:val="30"/>
          <w:szCs w:val="30"/>
        </w:rPr>
      </w:pPr>
    </w:p>
    <w:p w14:paraId="759C85AE" w14:textId="77777777" w:rsidR="008C5B37" w:rsidRPr="00B662B3" w:rsidRDefault="008C5B37" w:rsidP="005D4DBF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b/>
          <w:sz w:val="28"/>
          <w:szCs w:val="28"/>
        </w:rPr>
      </w:pPr>
      <w:r w:rsidRPr="00B662B3">
        <w:rPr>
          <w:b/>
          <w:sz w:val="28"/>
          <w:szCs w:val="28"/>
        </w:rPr>
        <w:t>重要内容提示：</w:t>
      </w:r>
    </w:p>
    <w:p w14:paraId="10C15F8C" w14:textId="77777777" w:rsidR="008C5B37" w:rsidRPr="00B662B3" w:rsidRDefault="008C5B37" w:rsidP="005D4DB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Chars="200" w:firstLine="560"/>
        <w:jc w:val="left"/>
        <w:rPr>
          <w:sz w:val="28"/>
          <w:szCs w:val="28"/>
        </w:rPr>
      </w:pPr>
      <w:r w:rsidRPr="00B662B3">
        <w:rPr>
          <w:sz w:val="28"/>
          <w:szCs w:val="28"/>
        </w:rPr>
        <w:t>是否需要提交股东大会审议</w:t>
      </w:r>
      <w:r w:rsidR="003D398F" w:rsidRPr="00B662B3">
        <w:rPr>
          <w:sz w:val="28"/>
          <w:szCs w:val="28"/>
        </w:rPr>
        <w:t>：是</w:t>
      </w:r>
    </w:p>
    <w:p w14:paraId="657B30BC" w14:textId="48D5AF4C" w:rsidR="008C5B37" w:rsidRPr="00B662B3" w:rsidRDefault="008C5B37" w:rsidP="005D4DB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sz w:val="28"/>
          <w:szCs w:val="28"/>
        </w:rPr>
      </w:pPr>
      <w:r w:rsidRPr="00B662B3">
        <w:rPr>
          <w:sz w:val="28"/>
          <w:szCs w:val="28"/>
        </w:rPr>
        <w:t>日常关联交易对上市公司的影响</w:t>
      </w:r>
      <w:r w:rsidR="003D398F" w:rsidRPr="00B662B3">
        <w:rPr>
          <w:sz w:val="28"/>
          <w:szCs w:val="28"/>
        </w:rPr>
        <w:t>：本次关联交易属公司日常关联交易，是以正常生产经营业务为基础，以市场价格为定价依据，不影响公司的独立性，不存在损害公司及股东利益的情形，不会对关联</w:t>
      </w:r>
      <w:r w:rsidR="009F3EED">
        <w:rPr>
          <w:rFonts w:hint="eastAsia"/>
          <w:sz w:val="28"/>
          <w:szCs w:val="28"/>
        </w:rPr>
        <w:t>方</w:t>
      </w:r>
      <w:r w:rsidR="003D398F" w:rsidRPr="00B662B3">
        <w:rPr>
          <w:sz w:val="28"/>
          <w:szCs w:val="28"/>
        </w:rPr>
        <w:t>形成</w:t>
      </w:r>
      <w:r w:rsidR="00995EC4">
        <w:rPr>
          <w:rFonts w:hint="eastAsia"/>
          <w:sz w:val="28"/>
          <w:szCs w:val="28"/>
        </w:rPr>
        <w:t>重</w:t>
      </w:r>
      <w:r w:rsidR="003D398F" w:rsidRPr="00B662B3">
        <w:rPr>
          <w:sz w:val="28"/>
          <w:szCs w:val="28"/>
        </w:rPr>
        <w:t>大依赖。</w:t>
      </w:r>
    </w:p>
    <w:p w14:paraId="420982F3" w14:textId="77777777" w:rsidR="008C5B37" w:rsidRPr="00B662B3" w:rsidRDefault="008C5B37" w:rsidP="005D4DBF">
      <w:pPr>
        <w:adjustRightInd w:val="0"/>
        <w:spacing w:line="360" w:lineRule="auto"/>
        <w:jc w:val="left"/>
        <w:rPr>
          <w:b/>
          <w:bCs/>
          <w:sz w:val="28"/>
          <w:szCs w:val="28"/>
        </w:rPr>
      </w:pPr>
      <w:r w:rsidRPr="00B662B3">
        <w:rPr>
          <w:b/>
          <w:bCs/>
          <w:sz w:val="28"/>
          <w:szCs w:val="28"/>
        </w:rPr>
        <w:t>一、日常关联交易基本情况</w:t>
      </w:r>
    </w:p>
    <w:p w14:paraId="01F17847" w14:textId="77777777" w:rsidR="008C5B37" w:rsidRPr="00B662B3" w:rsidRDefault="008C5B37" w:rsidP="005D4DB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sz w:val="28"/>
          <w:szCs w:val="28"/>
        </w:rPr>
      </w:pPr>
      <w:r w:rsidRPr="00B662B3">
        <w:rPr>
          <w:sz w:val="28"/>
          <w:szCs w:val="28"/>
        </w:rPr>
        <w:t>（一）日常关联交易履行的审议程序</w:t>
      </w:r>
    </w:p>
    <w:p w14:paraId="49A3DFA5" w14:textId="34CEF8C4" w:rsidR="002E2550" w:rsidRDefault="005E5ADC" w:rsidP="005D4DBF">
      <w:pPr>
        <w:adjustRightInd w:val="0"/>
        <w:spacing w:line="360" w:lineRule="auto"/>
        <w:ind w:firstLineChars="200" w:firstLine="560"/>
        <w:rPr>
          <w:sz w:val="28"/>
          <w:szCs w:val="28"/>
        </w:rPr>
      </w:pPr>
      <w:r w:rsidRPr="00B662B3">
        <w:rPr>
          <w:sz w:val="28"/>
          <w:szCs w:val="28"/>
        </w:rPr>
        <w:t>深圳市有方科技股份有限公司（以下简</w:t>
      </w:r>
      <w:r w:rsidRPr="00165481">
        <w:rPr>
          <w:rFonts w:ascii="宋体" w:hAnsi="宋体"/>
          <w:sz w:val="28"/>
          <w:szCs w:val="28"/>
        </w:rPr>
        <w:t>称“公司”）</w:t>
      </w:r>
      <w:r w:rsidRPr="00B662B3">
        <w:rPr>
          <w:sz w:val="28"/>
          <w:szCs w:val="28"/>
        </w:rPr>
        <w:t>于</w:t>
      </w:r>
      <w:r w:rsidR="002E2550">
        <w:rPr>
          <w:rFonts w:hint="eastAsia"/>
          <w:sz w:val="28"/>
          <w:szCs w:val="28"/>
        </w:rPr>
        <w:t>2</w:t>
      </w:r>
      <w:r w:rsidR="002E2550">
        <w:rPr>
          <w:sz w:val="28"/>
          <w:szCs w:val="28"/>
        </w:rPr>
        <w:t>021</w:t>
      </w:r>
      <w:r w:rsidR="002E2550">
        <w:rPr>
          <w:rFonts w:hint="eastAsia"/>
          <w:sz w:val="28"/>
          <w:szCs w:val="28"/>
        </w:rPr>
        <w:t>年</w:t>
      </w:r>
      <w:r w:rsidR="002E2550">
        <w:rPr>
          <w:rFonts w:hint="eastAsia"/>
          <w:sz w:val="28"/>
          <w:szCs w:val="28"/>
        </w:rPr>
        <w:t>3</w:t>
      </w:r>
      <w:r w:rsidR="002E2550">
        <w:rPr>
          <w:rFonts w:hint="eastAsia"/>
          <w:sz w:val="28"/>
          <w:szCs w:val="28"/>
        </w:rPr>
        <w:t>月</w:t>
      </w:r>
      <w:r w:rsidR="002E2550">
        <w:rPr>
          <w:rFonts w:hint="eastAsia"/>
          <w:sz w:val="28"/>
          <w:szCs w:val="28"/>
        </w:rPr>
        <w:t>2</w:t>
      </w:r>
      <w:r w:rsidR="002E2550">
        <w:rPr>
          <w:sz w:val="28"/>
          <w:szCs w:val="28"/>
        </w:rPr>
        <w:t>4</w:t>
      </w:r>
      <w:r w:rsidR="002E2550">
        <w:rPr>
          <w:rFonts w:hint="eastAsia"/>
          <w:sz w:val="28"/>
          <w:szCs w:val="28"/>
        </w:rPr>
        <w:t>日召开第二届董事会第二十五次会议、第二届监事会第十八次会议，审议通过了《关于预计</w:t>
      </w:r>
      <w:r w:rsidR="002E2550">
        <w:rPr>
          <w:rFonts w:hint="eastAsia"/>
          <w:sz w:val="28"/>
          <w:szCs w:val="28"/>
        </w:rPr>
        <w:t>2</w:t>
      </w:r>
      <w:r w:rsidR="002E2550">
        <w:rPr>
          <w:sz w:val="28"/>
          <w:szCs w:val="28"/>
        </w:rPr>
        <w:t>020</w:t>
      </w:r>
      <w:r w:rsidR="002E2550">
        <w:rPr>
          <w:rFonts w:hint="eastAsia"/>
          <w:sz w:val="28"/>
          <w:szCs w:val="28"/>
        </w:rPr>
        <w:t>年日常性关联交易额度的议案》，</w:t>
      </w:r>
      <w:r w:rsidR="004A06AE">
        <w:rPr>
          <w:rFonts w:hint="eastAsia"/>
          <w:sz w:val="28"/>
          <w:szCs w:val="28"/>
        </w:rPr>
        <w:t>公司于</w:t>
      </w:r>
      <w:r w:rsidR="004A06AE">
        <w:rPr>
          <w:rFonts w:hint="eastAsia"/>
          <w:sz w:val="28"/>
          <w:szCs w:val="28"/>
        </w:rPr>
        <w:t>2</w:t>
      </w:r>
      <w:r w:rsidR="004A06AE">
        <w:rPr>
          <w:sz w:val="28"/>
          <w:szCs w:val="28"/>
        </w:rPr>
        <w:t>021</w:t>
      </w:r>
      <w:r w:rsidR="004A06AE">
        <w:rPr>
          <w:rFonts w:hint="eastAsia"/>
          <w:sz w:val="28"/>
          <w:szCs w:val="28"/>
        </w:rPr>
        <w:t>年</w:t>
      </w:r>
      <w:r w:rsidR="004A06AE">
        <w:rPr>
          <w:rFonts w:hint="eastAsia"/>
          <w:sz w:val="28"/>
          <w:szCs w:val="28"/>
        </w:rPr>
        <w:t>4</w:t>
      </w:r>
      <w:r w:rsidR="004A06AE">
        <w:rPr>
          <w:rFonts w:hint="eastAsia"/>
          <w:sz w:val="28"/>
          <w:szCs w:val="28"/>
        </w:rPr>
        <w:t>月</w:t>
      </w:r>
      <w:r w:rsidR="004A06AE">
        <w:rPr>
          <w:rFonts w:hint="eastAsia"/>
          <w:sz w:val="28"/>
          <w:szCs w:val="28"/>
        </w:rPr>
        <w:t>1</w:t>
      </w:r>
      <w:r w:rsidR="004A06AE">
        <w:rPr>
          <w:sz w:val="28"/>
          <w:szCs w:val="28"/>
        </w:rPr>
        <w:t>2</w:t>
      </w:r>
      <w:r w:rsidR="004A06AE">
        <w:rPr>
          <w:rFonts w:hint="eastAsia"/>
          <w:sz w:val="28"/>
          <w:szCs w:val="28"/>
        </w:rPr>
        <w:t>日召开</w:t>
      </w:r>
      <w:r w:rsidR="004A06AE">
        <w:rPr>
          <w:sz w:val="28"/>
          <w:szCs w:val="28"/>
        </w:rPr>
        <w:t>2021</w:t>
      </w:r>
      <w:r w:rsidR="004A06AE">
        <w:rPr>
          <w:rFonts w:hint="eastAsia"/>
          <w:sz w:val="28"/>
          <w:szCs w:val="28"/>
        </w:rPr>
        <w:t>年第二次临时股东大会审议通过了该议案。其中，公司预计与西安迅腾科技有限公司</w:t>
      </w:r>
      <w:r w:rsidR="004A06AE">
        <w:rPr>
          <w:rFonts w:hint="eastAsia"/>
          <w:sz w:val="28"/>
          <w:szCs w:val="28"/>
        </w:rPr>
        <w:t>2</w:t>
      </w:r>
      <w:r w:rsidR="004A06AE">
        <w:rPr>
          <w:sz w:val="28"/>
          <w:szCs w:val="28"/>
        </w:rPr>
        <w:t>021</w:t>
      </w:r>
      <w:r w:rsidR="004A06AE">
        <w:rPr>
          <w:rFonts w:hint="eastAsia"/>
          <w:sz w:val="28"/>
          <w:szCs w:val="28"/>
        </w:rPr>
        <w:t>年关联交易金额为</w:t>
      </w:r>
      <w:r w:rsidR="004A06AE">
        <w:rPr>
          <w:rFonts w:hint="eastAsia"/>
          <w:sz w:val="28"/>
          <w:szCs w:val="28"/>
        </w:rPr>
        <w:t>1</w:t>
      </w:r>
      <w:r w:rsidR="004A06AE">
        <w:rPr>
          <w:sz w:val="28"/>
          <w:szCs w:val="28"/>
        </w:rPr>
        <w:t>00</w:t>
      </w:r>
      <w:r w:rsidR="004A06AE">
        <w:rPr>
          <w:rFonts w:hint="eastAsia"/>
          <w:sz w:val="28"/>
          <w:szCs w:val="28"/>
        </w:rPr>
        <w:t>万元。</w:t>
      </w:r>
    </w:p>
    <w:p w14:paraId="279FE0A9" w14:textId="6B468F38" w:rsidR="005E5ADC" w:rsidRPr="00B662B3" w:rsidRDefault="004A06AE" w:rsidP="004A06AE">
      <w:pPr>
        <w:adjustRightIn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公司于</w:t>
      </w:r>
      <w:r w:rsidR="005E5ADC" w:rsidRPr="00B662B3">
        <w:rPr>
          <w:sz w:val="28"/>
          <w:szCs w:val="28"/>
        </w:rPr>
        <w:t>202</w:t>
      </w:r>
      <w:r w:rsidR="0033456B">
        <w:rPr>
          <w:rFonts w:hint="eastAsia"/>
          <w:sz w:val="28"/>
          <w:szCs w:val="28"/>
        </w:rPr>
        <w:t>1</w:t>
      </w:r>
      <w:r w:rsidR="005E5ADC" w:rsidRPr="00B662B3">
        <w:rPr>
          <w:sz w:val="28"/>
          <w:szCs w:val="28"/>
        </w:rPr>
        <w:t>年</w:t>
      </w:r>
      <w:r w:rsidR="00710C31">
        <w:rPr>
          <w:sz w:val="28"/>
          <w:szCs w:val="28"/>
        </w:rPr>
        <w:t>4</w:t>
      </w:r>
      <w:r w:rsidR="005E5ADC" w:rsidRPr="00B662B3">
        <w:rPr>
          <w:sz w:val="28"/>
          <w:szCs w:val="28"/>
        </w:rPr>
        <w:t>月</w:t>
      </w:r>
      <w:r w:rsidR="00735F88">
        <w:rPr>
          <w:rFonts w:hint="eastAsia"/>
          <w:sz w:val="28"/>
          <w:szCs w:val="28"/>
        </w:rPr>
        <w:t>2</w:t>
      </w:r>
      <w:r w:rsidR="00710C31">
        <w:rPr>
          <w:sz w:val="28"/>
          <w:szCs w:val="28"/>
        </w:rPr>
        <w:t>6</w:t>
      </w:r>
      <w:r w:rsidR="005E5ADC" w:rsidRPr="00B662B3">
        <w:rPr>
          <w:sz w:val="28"/>
          <w:szCs w:val="28"/>
        </w:rPr>
        <w:t>日召开第二届董事会第</w:t>
      </w:r>
      <w:r w:rsidR="0033456B">
        <w:rPr>
          <w:rFonts w:hint="eastAsia"/>
          <w:sz w:val="28"/>
          <w:szCs w:val="28"/>
        </w:rPr>
        <w:t>二十</w:t>
      </w:r>
      <w:r w:rsidR="00710C31">
        <w:rPr>
          <w:rFonts w:hint="eastAsia"/>
          <w:sz w:val="28"/>
          <w:szCs w:val="28"/>
        </w:rPr>
        <w:t>六</w:t>
      </w:r>
      <w:r w:rsidR="005E5ADC" w:rsidRPr="00B662B3">
        <w:rPr>
          <w:sz w:val="28"/>
          <w:szCs w:val="28"/>
        </w:rPr>
        <w:t>次会议、第二届监事会第</w:t>
      </w:r>
      <w:r w:rsidR="0033456B">
        <w:rPr>
          <w:rFonts w:hint="eastAsia"/>
          <w:sz w:val="28"/>
          <w:szCs w:val="28"/>
        </w:rPr>
        <w:t>十</w:t>
      </w:r>
      <w:r w:rsidR="00710C31">
        <w:rPr>
          <w:rFonts w:hint="eastAsia"/>
          <w:sz w:val="28"/>
          <w:szCs w:val="28"/>
        </w:rPr>
        <w:t>九</w:t>
      </w:r>
      <w:r w:rsidR="005E5ADC" w:rsidRPr="00B662B3">
        <w:rPr>
          <w:sz w:val="28"/>
          <w:szCs w:val="28"/>
        </w:rPr>
        <w:t>次会议，审议通过了《关于</w:t>
      </w:r>
      <w:r w:rsidR="00710C31">
        <w:rPr>
          <w:rFonts w:hint="eastAsia"/>
          <w:sz w:val="28"/>
          <w:szCs w:val="28"/>
        </w:rPr>
        <w:t>增加</w:t>
      </w:r>
      <w:r w:rsidR="005E5ADC" w:rsidRPr="00B662B3">
        <w:rPr>
          <w:sz w:val="28"/>
          <w:szCs w:val="28"/>
        </w:rPr>
        <w:t>预计公司</w:t>
      </w:r>
      <w:r w:rsidR="005E5ADC" w:rsidRPr="00B662B3">
        <w:rPr>
          <w:sz w:val="28"/>
          <w:szCs w:val="28"/>
        </w:rPr>
        <w:t>202</w:t>
      </w:r>
      <w:r w:rsidR="0033456B">
        <w:rPr>
          <w:rFonts w:hint="eastAsia"/>
          <w:sz w:val="28"/>
          <w:szCs w:val="28"/>
        </w:rPr>
        <w:t>1</w:t>
      </w:r>
      <w:r w:rsidR="005E5ADC" w:rsidRPr="00B662B3">
        <w:rPr>
          <w:sz w:val="28"/>
          <w:szCs w:val="28"/>
        </w:rPr>
        <w:t>年日常性关联交易额度的议案》，本次</w:t>
      </w:r>
      <w:r>
        <w:rPr>
          <w:rFonts w:hint="eastAsia"/>
          <w:sz w:val="28"/>
          <w:szCs w:val="28"/>
        </w:rPr>
        <w:t>拟</w:t>
      </w:r>
      <w:r w:rsidR="008B40C2">
        <w:rPr>
          <w:rFonts w:hint="eastAsia"/>
          <w:sz w:val="28"/>
          <w:szCs w:val="28"/>
        </w:rPr>
        <w:t>增加</w:t>
      </w:r>
      <w:r>
        <w:rPr>
          <w:rFonts w:hint="eastAsia"/>
          <w:sz w:val="28"/>
          <w:szCs w:val="28"/>
        </w:rPr>
        <w:t>与</w:t>
      </w:r>
      <w:r w:rsidR="008B40C2">
        <w:rPr>
          <w:rFonts w:hint="eastAsia"/>
          <w:sz w:val="28"/>
          <w:szCs w:val="28"/>
        </w:rPr>
        <w:t>西安迅腾的</w:t>
      </w:r>
      <w:r w:rsidR="005E5ADC" w:rsidRPr="00B662B3">
        <w:rPr>
          <w:sz w:val="28"/>
          <w:szCs w:val="28"/>
        </w:rPr>
        <w:t>日常关联交易</w:t>
      </w:r>
      <w:r>
        <w:rPr>
          <w:rFonts w:hint="eastAsia"/>
          <w:sz w:val="28"/>
          <w:szCs w:val="28"/>
        </w:rPr>
        <w:t>预计额度</w:t>
      </w:r>
      <w:r w:rsidR="008B40C2">
        <w:rPr>
          <w:rFonts w:hint="eastAsia"/>
          <w:sz w:val="28"/>
          <w:szCs w:val="28"/>
        </w:rPr>
        <w:t>至</w:t>
      </w:r>
      <w:r w:rsidR="008B40C2">
        <w:rPr>
          <w:sz w:val="28"/>
          <w:szCs w:val="28"/>
        </w:rPr>
        <w:t>6</w:t>
      </w:r>
      <w:r w:rsidR="002D3F86" w:rsidRPr="00B662B3">
        <w:rPr>
          <w:sz w:val="28"/>
          <w:szCs w:val="28"/>
        </w:rPr>
        <w:t>,</w:t>
      </w:r>
      <w:r w:rsidR="008B40C2">
        <w:rPr>
          <w:sz w:val="28"/>
          <w:szCs w:val="28"/>
        </w:rPr>
        <w:t>0</w:t>
      </w:r>
      <w:r w:rsidR="002D3F86" w:rsidRPr="00B662B3">
        <w:rPr>
          <w:sz w:val="28"/>
          <w:szCs w:val="28"/>
        </w:rPr>
        <w:t>00</w:t>
      </w:r>
      <w:r w:rsidR="005E5ADC" w:rsidRPr="00B662B3">
        <w:rPr>
          <w:sz w:val="28"/>
          <w:szCs w:val="28"/>
        </w:rPr>
        <w:t>万元人民币，关联董事予以回避表决，出席会议的非关联董事一致同意该议案。</w:t>
      </w:r>
    </w:p>
    <w:p w14:paraId="0A16794C" w14:textId="0F799D5F" w:rsidR="0033456B" w:rsidRDefault="005E5ADC" w:rsidP="005D4DBF">
      <w:pPr>
        <w:spacing w:beforeLines="50" w:before="156" w:afterLines="50" w:after="156"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662B3">
        <w:rPr>
          <w:sz w:val="28"/>
          <w:szCs w:val="28"/>
        </w:rPr>
        <w:t>公司独立董事已就该议案进行了事前认可，并在董事会上发表了明确同意的独立意见，认为：</w:t>
      </w:r>
      <w:r w:rsidR="0033456B" w:rsidRPr="0033456B">
        <w:rPr>
          <w:rFonts w:ascii="宋体" w:hAnsi="宋体" w:hint="eastAsia"/>
          <w:sz w:val="28"/>
          <w:szCs w:val="28"/>
        </w:rPr>
        <w:t>公司及全资子公司</w:t>
      </w:r>
      <w:r w:rsidR="005D4DBF">
        <w:rPr>
          <w:rFonts w:ascii="宋体" w:hAnsi="宋体" w:hint="eastAsia"/>
          <w:sz w:val="28"/>
          <w:szCs w:val="28"/>
        </w:rPr>
        <w:t>增加</w:t>
      </w:r>
      <w:r w:rsidR="0033456B" w:rsidRPr="0033456B">
        <w:rPr>
          <w:rFonts w:ascii="宋体" w:hAnsi="宋体" w:hint="eastAsia"/>
          <w:sz w:val="28"/>
          <w:szCs w:val="28"/>
        </w:rPr>
        <w:t>预计2021年度与</w:t>
      </w:r>
      <w:r w:rsidR="005D4DBF">
        <w:rPr>
          <w:rFonts w:ascii="宋体" w:hAnsi="宋体" w:hint="eastAsia"/>
          <w:sz w:val="28"/>
          <w:szCs w:val="28"/>
        </w:rPr>
        <w:t>西安迅腾</w:t>
      </w:r>
      <w:r w:rsidR="0033456B" w:rsidRPr="0033456B">
        <w:rPr>
          <w:rFonts w:ascii="宋体" w:hAnsi="宋体" w:hint="eastAsia"/>
          <w:sz w:val="28"/>
          <w:szCs w:val="28"/>
        </w:rPr>
        <w:t>发生的日常性关联交易，</w:t>
      </w:r>
      <w:r w:rsidR="005D4DBF">
        <w:rPr>
          <w:rFonts w:ascii="宋体" w:hAnsi="宋体" w:hint="eastAsia"/>
          <w:sz w:val="28"/>
          <w:szCs w:val="28"/>
        </w:rPr>
        <w:t>系</w:t>
      </w:r>
      <w:r w:rsidR="0033456B" w:rsidRPr="0033456B">
        <w:rPr>
          <w:rFonts w:ascii="宋体" w:hAnsi="宋体" w:hint="eastAsia"/>
          <w:sz w:val="28"/>
          <w:szCs w:val="28"/>
        </w:rPr>
        <w:t>基于</w:t>
      </w:r>
      <w:r w:rsidR="005D4DBF">
        <w:rPr>
          <w:rFonts w:ascii="宋体" w:hAnsi="宋体" w:hint="eastAsia"/>
          <w:sz w:val="28"/>
          <w:szCs w:val="28"/>
        </w:rPr>
        <w:t>双方业务开展和经营</w:t>
      </w:r>
      <w:r w:rsidR="0033456B" w:rsidRPr="0033456B">
        <w:rPr>
          <w:rFonts w:ascii="宋体" w:hAnsi="宋体" w:hint="eastAsia"/>
          <w:sz w:val="28"/>
          <w:szCs w:val="28"/>
        </w:rPr>
        <w:t>的需要，交易定价方式及定价依据</w:t>
      </w:r>
      <w:r w:rsidR="0089549D">
        <w:rPr>
          <w:rFonts w:ascii="宋体" w:hAnsi="宋体" w:hint="eastAsia"/>
          <w:sz w:val="28"/>
          <w:szCs w:val="28"/>
        </w:rPr>
        <w:t>将</w:t>
      </w:r>
      <w:r w:rsidR="0033456B" w:rsidRPr="0033456B">
        <w:rPr>
          <w:rFonts w:ascii="宋体" w:hAnsi="宋体" w:hint="eastAsia"/>
          <w:sz w:val="28"/>
          <w:szCs w:val="28"/>
        </w:rPr>
        <w:t>按市场定价进行，不存在损害公司及中小股东利益的情形，不影响公司的独立性，公司的主要业务不会因上述关联交易而对</w:t>
      </w:r>
      <w:r w:rsidR="00192E19">
        <w:rPr>
          <w:rFonts w:ascii="宋体" w:hAnsi="宋体" w:hint="eastAsia"/>
          <w:sz w:val="28"/>
          <w:szCs w:val="28"/>
        </w:rPr>
        <w:t>西安迅腾</w:t>
      </w:r>
      <w:r w:rsidR="0033456B" w:rsidRPr="0033456B">
        <w:rPr>
          <w:rFonts w:ascii="宋体" w:hAnsi="宋体" w:hint="eastAsia"/>
          <w:sz w:val="28"/>
          <w:szCs w:val="28"/>
        </w:rPr>
        <w:t>形成依赖。董事会在对该议案进行表决时，公司关联董事予以回避表决，董事会的审议和表决程序符合法律、法规及《公司章程》等相关制度的规定。</w:t>
      </w:r>
    </w:p>
    <w:p w14:paraId="63E5C95F" w14:textId="7BF4E059" w:rsidR="005E5ADC" w:rsidRPr="00B662B3" w:rsidRDefault="00212E44" w:rsidP="005D4DBF">
      <w:pPr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r w:rsidRPr="005E5ADC">
        <w:rPr>
          <w:rFonts w:ascii="宋体" w:hAnsi="宋体" w:hint="eastAsia"/>
          <w:sz w:val="28"/>
          <w:szCs w:val="28"/>
        </w:rPr>
        <w:t>公司董事会审计委员会审议通过该议案，发表意见认为：</w:t>
      </w:r>
      <w:bookmarkStart w:id="1" w:name="_Hlk70244727"/>
      <w:r w:rsidR="0033456B" w:rsidRPr="0033456B">
        <w:rPr>
          <w:rFonts w:ascii="宋体" w:hAnsi="宋体" w:hint="eastAsia"/>
          <w:sz w:val="28"/>
          <w:szCs w:val="28"/>
        </w:rPr>
        <w:t>公司及子公司与关联方发生的预计2021年发生的日常关联交易是基于</w:t>
      </w:r>
      <w:r w:rsidR="00192E19">
        <w:rPr>
          <w:rFonts w:ascii="宋体" w:hAnsi="宋体" w:hint="eastAsia"/>
          <w:sz w:val="28"/>
          <w:szCs w:val="28"/>
        </w:rPr>
        <w:t>双方</w:t>
      </w:r>
      <w:r w:rsidR="0033456B" w:rsidRPr="0033456B">
        <w:rPr>
          <w:rFonts w:ascii="宋体" w:hAnsi="宋体" w:hint="eastAsia"/>
          <w:sz w:val="28"/>
          <w:szCs w:val="28"/>
        </w:rPr>
        <w:t>业务发展和经营的需要，且将遵循诚实信用、等价有偿、公平自愿、合理公允的基本原则，依市场公允价格，协商定价、交易。本次交易的决策程序合法、有效，不存在损害公司及中小股东利益的情形。</w:t>
      </w:r>
      <w:bookmarkEnd w:id="1"/>
    </w:p>
    <w:p w14:paraId="016B30B6" w14:textId="77777777" w:rsidR="005E5ADC" w:rsidRPr="00B662B3" w:rsidRDefault="005E5ADC" w:rsidP="005D4DBF">
      <w:pPr>
        <w:adjustRightInd w:val="0"/>
        <w:spacing w:line="360" w:lineRule="auto"/>
        <w:ind w:firstLineChars="200" w:firstLine="560"/>
        <w:jc w:val="left"/>
        <w:rPr>
          <w:sz w:val="28"/>
          <w:szCs w:val="28"/>
        </w:rPr>
      </w:pPr>
      <w:r w:rsidRPr="00B662B3">
        <w:rPr>
          <w:sz w:val="28"/>
          <w:szCs w:val="28"/>
        </w:rPr>
        <w:t>本次日常关联交易额度预计事项需提交股东大会审议</w:t>
      </w:r>
      <w:r w:rsidR="00482F6C">
        <w:rPr>
          <w:rFonts w:hint="eastAsia"/>
          <w:sz w:val="28"/>
          <w:szCs w:val="28"/>
        </w:rPr>
        <w:t>，关联股东将回避表决</w:t>
      </w:r>
      <w:r w:rsidRPr="00B662B3">
        <w:rPr>
          <w:sz w:val="28"/>
          <w:szCs w:val="28"/>
        </w:rPr>
        <w:t>。</w:t>
      </w:r>
    </w:p>
    <w:p w14:paraId="2311DEC8" w14:textId="7A87EB1F" w:rsidR="002E2550" w:rsidRDefault="005735D6" w:rsidP="002E2550">
      <w:pPr>
        <w:adjustRightInd w:val="0"/>
        <w:spacing w:line="360" w:lineRule="auto"/>
        <w:ind w:firstLineChars="200" w:firstLine="560"/>
        <w:jc w:val="left"/>
        <w:rPr>
          <w:bCs/>
          <w:sz w:val="28"/>
          <w:szCs w:val="28"/>
        </w:rPr>
      </w:pPr>
      <w:r w:rsidRPr="00B662B3">
        <w:rPr>
          <w:bCs/>
          <w:sz w:val="28"/>
          <w:szCs w:val="28"/>
        </w:rPr>
        <w:t>（二）本次</w:t>
      </w:r>
      <w:r w:rsidR="009860E7">
        <w:rPr>
          <w:rFonts w:hint="eastAsia"/>
          <w:bCs/>
          <w:sz w:val="28"/>
          <w:szCs w:val="28"/>
        </w:rPr>
        <w:t>增加的</w:t>
      </w:r>
      <w:r w:rsidRPr="00B662B3">
        <w:rPr>
          <w:bCs/>
          <w:sz w:val="28"/>
          <w:szCs w:val="28"/>
        </w:rPr>
        <w:t>日常关联交易预计金额和类别</w:t>
      </w:r>
    </w:p>
    <w:p w14:paraId="4B5405BD" w14:textId="6B70D549" w:rsidR="004A06AE" w:rsidRPr="00D71B34" w:rsidRDefault="004A06AE" w:rsidP="004A06AE">
      <w:pPr>
        <w:adjustRightInd w:val="0"/>
        <w:spacing w:line="360" w:lineRule="auto"/>
        <w:ind w:firstLineChars="200" w:firstLine="480"/>
        <w:jc w:val="right"/>
        <w:rPr>
          <w:bCs/>
          <w:sz w:val="24"/>
        </w:rPr>
      </w:pPr>
      <w:r w:rsidRPr="00D71B34">
        <w:rPr>
          <w:rFonts w:hint="eastAsia"/>
          <w:bCs/>
          <w:sz w:val="24"/>
        </w:rPr>
        <w:lastRenderedPageBreak/>
        <w:t>单位：万元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"/>
        <w:gridCol w:w="1059"/>
        <w:gridCol w:w="1074"/>
        <w:gridCol w:w="1005"/>
        <w:gridCol w:w="1056"/>
        <w:gridCol w:w="1255"/>
        <w:gridCol w:w="1769"/>
      </w:tblGrid>
      <w:tr w:rsidR="004A06AE" w14:paraId="38EA3DC6" w14:textId="77777777" w:rsidTr="004A06AE">
        <w:trPr>
          <w:trHeight w:val="340"/>
          <w:jc w:val="center"/>
        </w:trPr>
        <w:tc>
          <w:tcPr>
            <w:tcW w:w="639" w:type="pct"/>
            <w:vAlign w:val="center"/>
          </w:tcPr>
          <w:p w14:paraId="1C9B273C" w14:textId="77777777" w:rsidR="002E2550" w:rsidRPr="004A06AE" w:rsidRDefault="002E2550" w:rsidP="00371BAA">
            <w:pPr>
              <w:keepNext/>
              <w:widowControl/>
              <w:overflowPunct w:val="0"/>
              <w:snapToGrid w:val="0"/>
              <w:jc w:val="center"/>
              <w:rPr>
                <w:b/>
                <w:bCs/>
                <w:sz w:val="24"/>
              </w:rPr>
            </w:pPr>
            <w:r w:rsidRPr="004A06AE">
              <w:rPr>
                <w:b/>
                <w:bCs/>
                <w:sz w:val="24"/>
              </w:rPr>
              <w:t>关联交易类别</w:t>
            </w:r>
          </w:p>
        </w:tc>
        <w:tc>
          <w:tcPr>
            <w:tcW w:w="640" w:type="pct"/>
            <w:vAlign w:val="center"/>
          </w:tcPr>
          <w:p w14:paraId="073CE558" w14:textId="77777777" w:rsidR="002E2550" w:rsidRPr="004A06AE" w:rsidRDefault="002E2550" w:rsidP="00371BAA">
            <w:pPr>
              <w:keepNext/>
              <w:widowControl/>
              <w:overflowPunct w:val="0"/>
              <w:snapToGrid w:val="0"/>
              <w:jc w:val="center"/>
              <w:rPr>
                <w:b/>
                <w:bCs/>
                <w:sz w:val="24"/>
              </w:rPr>
            </w:pPr>
            <w:r w:rsidRPr="004A06AE">
              <w:rPr>
                <w:b/>
                <w:bCs/>
                <w:sz w:val="24"/>
              </w:rPr>
              <w:t>交易内容</w:t>
            </w:r>
          </w:p>
        </w:tc>
        <w:tc>
          <w:tcPr>
            <w:tcW w:w="649" w:type="pct"/>
            <w:vAlign w:val="center"/>
          </w:tcPr>
          <w:p w14:paraId="46370B74" w14:textId="77777777" w:rsidR="002E2550" w:rsidRPr="004A06AE" w:rsidRDefault="002E2550" w:rsidP="00371BAA">
            <w:pPr>
              <w:keepNext/>
              <w:widowControl/>
              <w:overflowPunct w:val="0"/>
              <w:snapToGrid w:val="0"/>
              <w:jc w:val="center"/>
              <w:rPr>
                <w:b/>
                <w:bCs/>
                <w:sz w:val="24"/>
              </w:rPr>
            </w:pPr>
            <w:r w:rsidRPr="004A06AE">
              <w:rPr>
                <w:b/>
                <w:bCs/>
                <w:sz w:val="24"/>
              </w:rPr>
              <w:t>关联人</w:t>
            </w:r>
          </w:p>
        </w:tc>
        <w:tc>
          <w:tcPr>
            <w:tcW w:w="607" w:type="pct"/>
            <w:vAlign w:val="center"/>
          </w:tcPr>
          <w:p w14:paraId="48BF3A9B" w14:textId="77777777" w:rsidR="002E2550" w:rsidRPr="004A06AE" w:rsidRDefault="002E2550" w:rsidP="00371BAA">
            <w:pPr>
              <w:keepNext/>
              <w:widowControl/>
              <w:overflowPunct w:val="0"/>
              <w:snapToGrid w:val="0"/>
              <w:jc w:val="center"/>
              <w:rPr>
                <w:b/>
                <w:bCs/>
                <w:sz w:val="24"/>
              </w:rPr>
            </w:pPr>
            <w:r w:rsidRPr="004A06AE">
              <w:rPr>
                <w:b/>
                <w:bCs/>
                <w:sz w:val="24"/>
              </w:rPr>
              <w:t>原</w:t>
            </w:r>
            <w:r w:rsidRPr="004A06AE">
              <w:rPr>
                <w:b/>
                <w:bCs/>
                <w:sz w:val="24"/>
              </w:rPr>
              <w:t>2021</w:t>
            </w:r>
            <w:r w:rsidRPr="004A06AE">
              <w:rPr>
                <w:b/>
                <w:bCs/>
                <w:sz w:val="24"/>
              </w:rPr>
              <w:t>年度预计金额</w:t>
            </w:r>
          </w:p>
        </w:tc>
        <w:tc>
          <w:tcPr>
            <w:tcW w:w="638" w:type="pct"/>
            <w:vAlign w:val="center"/>
          </w:tcPr>
          <w:p w14:paraId="6B382180" w14:textId="77777777" w:rsidR="002E2550" w:rsidRPr="004A06AE" w:rsidRDefault="002E2550" w:rsidP="00371BAA">
            <w:pPr>
              <w:keepNext/>
              <w:widowControl/>
              <w:overflowPunct w:val="0"/>
              <w:snapToGrid w:val="0"/>
              <w:jc w:val="center"/>
              <w:rPr>
                <w:b/>
                <w:bCs/>
                <w:sz w:val="24"/>
              </w:rPr>
            </w:pPr>
            <w:r w:rsidRPr="004A06AE">
              <w:rPr>
                <w:b/>
                <w:bCs/>
                <w:sz w:val="24"/>
              </w:rPr>
              <w:t>新增预计金额</w:t>
            </w:r>
          </w:p>
        </w:tc>
        <w:tc>
          <w:tcPr>
            <w:tcW w:w="758" w:type="pct"/>
            <w:vAlign w:val="center"/>
          </w:tcPr>
          <w:p w14:paraId="636A197E" w14:textId="77777777" w:rsidR="002E2550" w:rsidRPr="004A06AE" w:rsidRDefault="002E2550" w:rsidP="00371BAA">
            <w:pPr>
              <w:keepNext/>
              <w:widowControl/>
              <w:overflowPunct w:val="0"/>
              <w:snapToGrid w:val="0"/>
              <w:jc w:val="center"/>
              <w:rPr>
                <w:b/>
                <w:bCs/>
                <w:sz w:val="24"/>
              </w:rPr>
            </w:pPr>
            <w:r w:rsidRPr="004A06AE">
              <w:rPr>
                <w:b/>
                <w:bCs/>
                <w:sz w:val="24"/>
              </w:rPr>
              <w:t>本次增加后的预计金额</w:t>
            </w:r>
          </w:p>
        </w:tc>
        <w:tc>
          <w:tcPr>
            <w:tcW w:w="1069" w:type="pct"/>
            <w:vAlign w:val="center"/>
          </w:tcPr>
          <w:p w14:paraId="7860E97C" w14:textId="77777777" w:rsidR="002E2550" w:rsidRPr="004A06AE" w:rsidRDefault="002E2550" w:rsidP="00371BAA">
            <w:pPr>
              <w:keepNext/>
              <w:widowControl/>
              <w:overflowPunct w:val="0"/>
              <w:snapToGrid w:val="0"/>
              <w:rPr>
                <w:b/>
                <w:bCs/>
                <w:sz w:val="24"/>
              </w:rPr>
            </w:pPr>
            <w:r w:rsidRPr="004A06AE">
              <w:rPr>
                <w:b/>
                <w:bCs/>
                <w:sz w:val="24"/>
              </w:rPr>
              <w:t>本年年初至</w:t>
            </w:r>
            <w:r w:rsidRPr="004A06AE">
              <w:rPr>
                <w:b/>
                <w:bCs/>
                <w:sz w:val="24"/>
              </w:rPr>
              <w:t>2021</w:t>
            </w:r>
            <w:r w:rsidRPr="004A06AE">
              <w:rPr>
                <w:b/>
                <w:bCs/>
                <w:sz w:val="24"/>
              </w:rPr>
              <w:t>年</w:t>
            </w:r>
            <w:r w:rsidRPr="004A06AE">
              <w:rPr>
                <w:b/>
                <w:bCs/>
                <w:sz w:val="24"/>
              </w:rPr>
              <w:t>4</w:t>
            </w:r>
            <w:r w:rsidRPr="004A06AE">
              <w:rPr>
                <w:b/>
                <w:bCs/>
                <w:sz w:val="24"/>
              </w:rPr>
              <w:t>月</w:t>
            </w:r>
            <w:r w:rsidRPr="004A06AE">
              <w:rPr>
                <w:b/>
                <w:bCs/>
                <w:sz w:val="24"/>
              </w:rPr>
              <w:t>23</w:t>
            </w:r>
            <w:r w:rsidRPr="004A06AE">
              <w:rPr>
                <w:b/>
                <w:bCs/>
                <w:sz w:val="24"/>
              </w:rPr>
              <w:t>日与关联人累计已发生的交易金额</w:t>
            </w:r>
          </w:p>
        </w:tc>
      </w:tr>
      <w:tr w:rsidR="004A06AE" w14:paraId="58335B0F" w14:textId="77777777" w:rsidTr="004A06AE">
        <w:trPr>
          <w:trHeight w:val="340"/>
          <w:jc w:val="center"/>
        </w:trPr>
        <w:tc>
          <w:tcPr>
            <w:tcW w:w="639" w:type="pct"/>
            <w:vAlign w:val="center"/>
          </w:tcPr>
          <w:p w14:paraId="0D5094FF" w14:textId="77777777" w:rsidR="002E2550" w:rsidRPr="004A06AE" w:rsidRDefault="002E2550" w:rsidP="00371BAA">
            <w:pPr>
              <w:keepNext/>
              <w:widowControl/>
              <w:overflowPunct w:val="0"/>
              <w:snapToGrid w:val="0"/>
              <w:rPr>
                <w:sz w:val="24"/>
              </w:rPr>
            </w:pPr>
            <w:r w:rsidRPr="004A06AE">
              <w:rPr>
                <w:sz w:val="24"/>
              </w:rPr>
              <w:t>向关联人销售产品、商品</w:t>
            </w:r>
          </w:p>
        </w:tc>
        <w:tc>
          <w:tcPr>
            <w:tcW w:w="640" w:type="pct"/>
            <w:vAlign w:val="center"/>
          </w:tcPr>
          <w:p w14:paraId="6770B9B9" w14:textId="77777777" w:rsidR="002E2550" w:rsidRPr="004A06AE" w:rsidRDefault="002E2550" w:rsidP="00371BAA">
            <w:pPr>
              <w:keepNext/>
              <w:widowControl/>
              <w:overflowPunct w:val="0"/>
              <w:snapToGrid w:val="0"/>
              <w:jc w:val="center"/>
              <w:rPr>
                <w:sz w:val="24"/>
              </w:rPr>
            </w:pPr>
            <w:r w:rsidRPr="004A06AE">
              <w:rPr>
                <w:sz w:val="24"/>
              </w:rPr>
              <w:t>销售物联网无线通信产品、电子元器件等物料</w:t>
            </w:r>
          </w:p>
        </w:tc>
        <w:tc>
          <w:tcPr>
            <w:tcW w:w="649" w:type="pct"/>
            <w:vAlign w:val="center"/>
          </w:tcPr>
          <w:p w14:paraId="6A91EC29" w14:textId="77777777" w:rsidR="002E2550" w:rsidRPr="004A06AE" w:rsidRDefault="002E2550" w:rsidP="00371BAA">
            <w:pPr>
              <w:keepNext/>
              <w:widowControl/>
              <w:overflowPunct w:val="0"/>
              <w:snapToGrid w:val="0"/>
              <w:rPr>
                <w:sz w:val="24"/>
              </w:rPr>
            </w:pPr>
            <w:r w:rsidRPr="004A06AE">
              <w:rPr>
                <w:sz w:val="24"/>
              </w:rPr>
              <w:t>西安迅腾科技有限责任公司</w:t>
            </w:r>
          </w:p>
        </w:tc>
        <w:tc>
          <w:tcPr>
            <w:tcW w:w="607" w:type="pct"/>
            <w:vAlign w:val="center"/>
          </w:tcPr>
          <w:p w14:paraId="7B1DC7B1" w14:textId="77777777" w:rsidR="002E2550" w:rsidRPr="004A06AE" w:rsidRDefault="002E2550" w:rsidP="00371BAA">
            <w:pPr>
              <w:keepNext/>
              <w:widowControl/>
              <w:overflowPunct w:val="0"/>
              <w:jc w:val="right"/>
              <w:rPr>
                <w:sz w:val="24"/>
              </w:rPr>
            </w:pPr>
            <w:r w:rsidRPr="004A06AE">
              <w:rPr>
                <w:sz w:val="24"/>
              </w:rPr>
              <w:t>100.00</w:t>
            </w:r>
          </w:p>
        </w:tc>
        <w:tc>
          <w:tcPr>
            <w:tcW w:w="638" w:type="pct"/>
            <w:vAlign w:val="center"/>
          </w:tcPr>
          <w:p w14:paraId="4082D998" w14:textId="77777777" w:rsidR="002E2550" w:rsidRPr="004A06AE" w:rsidRDefault="002E2550" w:rsidP="00371BAA">
            <w:pPr>
              <w:keepNext/>
              <w:widowControl/>
              <w:overflowPunct w:val="0"/>
              <w:jc w:val="right"/>
              <w:rPr>
                <w:sz w:val="24"/>
              </w:rPr>
            </w:pPr>
            <w:r w:rsidRPr="004A06AE">
              <w:rPr>
                <w:sz w:val="24"/>
              </w:rPr>
              <w:t>5,900.00</w:t>
            </w:r>
          </w:p>
        </w:tc>
        <w:tc>
          <w:tcPr>
            <w:tcW w:w="758" w:type="pct"/>
            <w:vAlign w:val="center"/>
          </w:tcPr>
          <w:p w14:paraId="76E285A4" w14:textId="77777777" w:rsidR="002E2550" w:rsidRPr="004A06AE" w:rsidRDefault="002E2550" w:rsidP="00371BAA">
            <w:pPr>
              <w:keepNext/>
              <w:widowControl/>
              <w:overflowPunct w:val="0"/>
              <w:jc w:val="right"/>
              <w:rPr>
                <w:sz w:val="24"/>
              </w:rPr>
            </w:pPr>
            <w:r w:rsidRPr="004A06AE">
              <w:rPr>
                <w:sz w:val="24"/>
              </w:rPr>
              <w:t>6,000.00</w:t>
            </w:r>
          </w:p>
        </w:tc>
        <w:tc>
          <w:tcPr>
            <w:tcW w:w="1069" w:type="pct"/>
            <w:vAlign w:val="center"/>
          </w:tcPr>
          <w:p w14:paraId="6B2DD438" w14:textId="77777777" w:rsidR="002E2550" w:rsidRPr="004A06AE" w:rsidRDefault="002E2550" w:rsidP="00371BAA">
            <w:pPr>
              <w:keepNext/>
              <w:widowControl/>
              <w:overflowPunct w:val="0"/>
              <w:jc w:val="right"/>
              <w:rPr>
                <w:sz w:val="24"/>
              </w:rPr>
            </w:pPr>
            <w:r w:rsidRPr="004A06AE">
              <w:rPr>
                <w:sz w:val="24"/>
              </w:rPr>
              <w:t>0.04</w:t>
            </w:r>
          </w:p>
        </w:tc>
      </w:tr>
    </w:tbl>
    <w:p w14:paraId="3AD7FD0E" w14:textId="77777777" w:rsidR="00955551" w:rsidRPr="00B662B3" w:rsidRDefault="00955551" w:rsidP="005D4DBF">
      <w:pPr>
        <w:adjustRightInd w:val="0"/>
        <w:spacing w:line="360" w:lineRule="auto"/>
        <w:ind w:firstLineChars="200" w:firstLine="560"/>
        <w:jc w:val="left"/>
        <w:rPr>
          <w:bCs/>
          <w:sz w:val="28"/>
          <w:szCs w:val="28"/>
        </w:rPr>
      </w:pPr>
    </w:p>
    <w:p w14:paraId="0F97E482" w14:textId="10E7A73F" w:rsidR="008C5B37" w:rsidRPr="00B662B3" w:rsidRDefault="008C5B37" w:rsidP="005D4DBF">
      <w:pPr>
        <w:adjustRightInd w:val="0"/>
        <w:spacing w:line="360" w:lineRule="auto"/>
        <w:ind w:firstLineChars="200" w:firstLine="562"/>
        <w:jc w:val="left"/>
        <w:rPr>
          <w:b/>
          <w:bCs/>
          <w:sz w:val="28"/>
          <w:szCs w:val="28"/>
        </w:rPr>
      </w:pPr>
      <w:r w:rsidRPr="00B662B3">
        <w:rPr>
          <w:b/>
          <w:bCs/>
          <w:sz w:val="28"/>
          <w:szCs w:val="28"/>
        </w:rPr>
        <w:t>二、</w:t>
      </w:r>
      <w:r w:rsidR="007B396E" w:rsidRPr="00B662B3">
        <w:rPr>
          <w:b/>
          <w:bCs/>
          <w:sz w:val="28"/>
          <w:szCs w:val="28"/>
        </w:rPr>
        <w:t>关联人</w:t>
      </w:r>
      <w:r w:rsidR="00155017" w:rsidRPr="00B662B3">
        <w:rPr>
          <w:b/>
          <w:bCs/>
          <w:sz w:val="28"/>
          <w:szCs w:val="28"/>
        </w:rPr>
        <w:t>基本情况和关联</w:t>
      </w:r>
      <w:r w:rsidR="00A11B95">
        <w:rPr>
          <w:rFonts w:hint="eastAsia"/>
          <w:b/>
          <w:bCs/>
          <w:sz w:val="28"/>
          <w:szCs w:val="28"/>
        </w:rPr>
        <w:t>关系</w:t>
      </w:r>
    </w:p>
    <w:p w14:paraId="143903C3" w14:textId="4A007B3A" w:rsidR="00B631F9" w:rsidRPr="00B662B3" w:rsidRDefault="008C5B37" w:rsidP="005D4DBF">
      <w:pPr>
        <w:adjustRightInd w:val="0"/>
        <w:spacing w:line="360" w:lineRule="auto"/>
        <w:ind w:firstLineChars="200" w:firstLine="560"/>
        <w:jc w:val="left"/>
        <w:rPr>
          <w:bCs/>
          <w:sz w:val="28"/>
          <w:szCs w:val="28"/>
        </w:rPr>
      </w:pPr>
      <w:r w:rsidRPr="00B662B3">
        <w:rPr>
          <w:bCs/>
          <w:sz w:val="28"/>
          <w:szCs w:val="28"/>
        </w:rPr>
        <w:t>（一）</w:t>
      </w:r>
      <w:r w:rsidR="007B396E" w:rsidRPr="00B662B3">
        <w:rPr>
          <w:bCs/>
          <w:sz w:val="28"/>
          <w:szCs w:val="28"/>
        </w:rPr>
        <w:t>关联人</w:t>
      </w:r>
      <w:r w:rsidRPr="00B662B3">
        <w:rPr>
          <w:bCs/>
          <w:sz w:val="28"/>
          <w:szCs w:val="28"/>
        </w:rPr>
        <w:t>的基本情况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2102"/>
        <w:gridCol w:w="4206"/>
      </w:tblGrid>
      <w:tr w:rsidR="00B631F9" w:rsidRPr="00B662B3" w14:paraId="6AFBD75D" w14:textId="77777777" w:rsidTr="00DE5BA2">
        <w:trPr>
          <w:trHeight w:val="340"/>
          <w:jc w:val="center"/>
        </w:trPr>
        <w:tc>
          <w:tcPr>
            <w:tcW w:w="1189" w:type="pct"/>
            <w:vAlign w:val="center"/>
          </w:tcPr>
          <w:p w14:paraId="6A52082F" w14:textId="77777777" w:rsidR="00B631F9" w:rsidRPr="00B662B3" w:rsidRDefault="00B631F9" w:rsidP="005D4DBF">
            <w:pPr>
              <w:spacing w:line="360" w:lineRule="auto"/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 w:rsidRPr="00B662B3">
              <w:rPr>
                <w:bCs/>
                <w:color w:val="000000"/>
                <w:sz w:val="24"/>
                <w:shd w:val="clear" w:color="auto" w:fill="FFFFFF"/>
              </w:rPr>
              <w:t>公司名称</w:t>
            </w:r>
          </w:p>
        </w:tc>
        <w:tc>
          <w:tcPr>
            <w:tcW w:w="3811" w:type="pct"/>
            <w:gridSpan w:val="2"/>
            <w:vAlign w:val="center"/>
          </w:tcPr>
          <w:p w14:paraId="6810E3B0" w14:textId="042A2C45" w:rsidR="00B631F9" w:rsidRPr="00B662B3" w:rsidRDefault="00B631F9" w:rsidP="005D4DBF">
            <w:pPr>
              <w:spacing w:line="360" w:lineRule="auto"/>
              <w:rPr>
                <w:bCs/>
                <w:color w:val="000000"/>
                <w:sz w:val="24"/>
                <w:shd w:val="clear" w:color="auto" w:fill="FFFFFF"/>
              </w:rPr>
            </w:pPr>
            <w:r w:rsidRPr="00B631F9">
              <w:rPr>
                <w:rFonts w:hint="eastAsia"/>
                <w:kern w:val="0"/>
                <w:sz w:val="24"/>
              </w:rPr>
              <w:t>西安迅腾科技有限责任公司</w:t>
            </w:r>
          </w:p>
        </w:tc>
      </w:tr>
      <w:tr w:rsidR="00B631F9" w:rsidRPr="00B662B3" w14:paraId="39C05FC8" w14:textId="77777777" w:rsidTr="00DE5BA2">
        <w:trPr>
          <w:trHeight w:val="340"/>
          <w:jc w:val="center"/>
        </w:trPr>
        <w:tc>
          <w:tcPr>
            <w:tcW w:w="1189" w:type="pct"/>
            <w:vAlign w:val="center"/>
          </w:tcPr>
          <w:p w14:paraId="5A81F15C" w14:textId="77777777" w:rsidR="00B631F9" w:rsidRPr="00B662B3" w:rsidRDefault="00B631F9" w:rsidP="005D4DBF">
            <w:pPr>
              <w:spacing w:line="360" w:lineRule="auto"/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 w:rsidRPr="00B662B3">
              <w:rPr>
                <w:bCs/>
                <w:color w:val="000000"/>
                <w:sz w:val="24"/>
                <w:shd w:val="clear" w:color="auto" w:fill="FFFFFF"/>
              </w:rPr>
              <w:t>企业类型</w:t>
            </w:r>
          </w:p>
        </w:tc>
        <w:tc>
          <w:tcPr>
            <w:tcW w:w="3811" w:type="pct"/>
            <w:gridSpan w:val="2"/>
            <w:vAlign w:val="center"/>
          </w:tcPr>
          <w:p w14:paraId="461549E3" w14:textId="4293CCC1" w:rsidR="00B631F9" w:rsidRPr="00B662B3" w:rsidRDefault="00B631F9" w:rsidP="005D4DBF">
            <w:pPr>
              <w:spacing w:line="360" w:lineRule="auto"/>
              <w:rPr>
                <w:bCs/>
                <w:color w:val="000000"/>
                <w:sz w:val="24"/>
                <w:shd w:val="clear" w:color="auto" w:fill="FFFFFF"/>
              </w:rPr>
            </w:pPr>
            <w:r w:rsidRPr="00B662B3">
              <w:rPr>
                <w:bCs/>
                <w:color w:val="000000"/>
                <w:sz w:val="24"/>
                <w:shd w:val="clear" w:color="auto" w:fill="FFFFFF"/>
              </w:rPr>
              <w:t>有限</w:t>
            </w:r>
            <w:r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责任</w:t>
            </w:r>
            <w:r w:rsidRPr="00B662B3">
              <w:rPr>
                <w:bCs/>
                <w:color w:val="000000"/>
                <w:sz w:val="24"/>
                <w:shd w:val="clear" w:color="auto" w:fill="FFFFFF"/>
              </w:rPr>
              <w:t>公司</w:t>
            </w:r>
          </w:p>
        </w:tc>
      </w:tr>
      <w:tr w:rsidR="00B631F9" w:rsidRPr="00B662B3" w14:paraId="2ACB6298" w14:textId="77777777" w:rsidTr="00DE5BA2">
        <w:trPr>
          <w:trHeight w:val="340"/>
          <w:jc w:val="center"/>
        </w:trPr>
        <w:tc>
          <w:tcPr>
            <w:tcW w:w="1189" w:type="pct"/>
            <w:vAlign w:val="center"/>
          </w:tcPr>
          <w:p w14:paraId="24275F17" w14:textId="77777777" w:rsidR="00B631F9" w:rsidRPr="00B662B3" w:rsidRDefault="00B631F9" w:rsidP="005D4DBF">
            <w:pPr>
              <w:spacing w:line="360" w:lineRule="auto"/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 w:rsidRPr="00B662B3">
              <w:rPr>
                <w:bCs/>
                <w:color w:val="000000"/>
                <w:sz w:val="24"/>
                <w:shd w:val="clear" w:color="auto" w:fill="FFFFFF"/>
              </w:rPr>
              <w:t>法定代表人</w:t>
            </w:r>
          </w:p>
        </w:tc>
        <w:tc>
          <w:tcPr>
            <w:tcW w:w="3811" w:type="pct"/>
            <w:gridSpan w:val="2"/>
            <w:vAlign w:val="center"/>
          </w:tcPr>
          <w:p w14:paraId="1577AA42" w14:textId="537C0A3F" w:rsidR="00B631F9" w:rsidRPr="00B662B3" w:rsidRDefault="00B631F9" w:rsidP="005D4DBF">
            <w:pPr>
              <w:spacing w:line="360" w:lineRule="auto"/>
              <w:rPr>
                <w:bCs/>
                <w:color w:val="000000"/>
                <w:sz w:val="24"/>
                <w:shd w:val="clear" w:color="auto" w:fill="FFFFFF"/>
              </w:rPr>
            </w:pPr>
            <w:r w:rsidRPr="00B631F9"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解昌翰</w:t>
            </w:r>
          </w:p>
        </w:tc>
      </w:tr>
      <w:tr w:rsidR="00B631F9" w:rsidRPr="00B662B3" w14:paraId="4702D39A" w14:textId="77777777" w:rsidTr="00DE5BA2">
        <w:trPr>
          <w:trHeight w:val="340"/>
          <w:jc w:val="center"/>
        </w:trPr>
        <w:tc>
          <w:tcPr>
            <w:tcW w:w="1189" w:type="pct"/>
            <w:vAlign w:val="center"/>
          </w:tcPr>
          <w:p w14:paraId="57923909" w14:textId="77777777" w:rsidR="00B631F9" w:rsidRPr="00B662B3" w:rsidRDefault="00B631F9" w:rsidP="005D4DBF">
            <w:pPr>
              <w:spacing w:line="360" w:lineRule="auto"/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 w:rsidRPr="00B662B3">
              <w:rPr>
                <w:bCs/>
                <w:color w:val="000000"/>
                <w:sz w:val="24"/>
                <w:shd w:val="clear" w:color="auto" w:fill="FFFFFF"/>
              </w:rPr>
              <w:t>注册资本</w:t>
            </w:r>
          </w:p>
        </w:tc>
        <w:tc>
          <w:tcPr>
            <w:tcW w:w="3811" w:type="pct"/>
            <w:gridSpan w:val="2"/>
            <w:vAlign w:val="center"/>
          </w:tcPr>
          <w:p w14:paraId="1FA2E39D" w14:textId="51614602" w:rsidR="00B631F9" w:rsidRPr="00B662B3" w:rsidRDefault="00B631F9" w:rsidP="005D4DBF">
            <w:pPr>
              <w:spacing w:line="360" w:lineRule="auto"/>
              <w:rPr>
                <w:bCs/>
                <w:color w:val="000000"/>
                <w:sz w:val="24"/>
                <w:shd w:val="clear" w:color="auto" w:fill="FFFFFF"/>
              </w:rPr>
            </w:pPr>
            <w:r w:rsidRPr="00B631F9"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3,000.00</w:t>
            </w:r>
            <w:r w:rsidRPr="00B631F9"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万元</w:t>
            </w:r>
          </w:p>
        </w:tc>
      </w:tr>
      <w:tr w:rsidR="00B631F9" w:rsidRPr="00B662B3" w14:paraId="2384976B" w14:textId="77777777" w:rsidTr="00DE5BA2">
        <w:trPr>
          <w:trHeight w:val="340"/>
          <w:jc w:val="center"/>
        </w:trPr>
        <w:tc>
          <w:tcPr>
            <w:tcW w:w="1189" w:type="pct"/>
            <w:vAlign w:val="center"/>
          </w:tcPr>
          <w:p w14:paraId="527CA56B" w14:textId="77777777" w:rsidR="00B631F9" w:rsidRPr="00B662B3" w:rsidRDefault="00B631F9" w:rsidP="005D4DBF">
            <w:pPr>
              <w:spacing w:line="360" w:lineRule="auto"/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 w:rsidRPr="00B662B3">
              <w:rPr>
                <w:bCs/>
                <w:color w:val="000000"/>
                <w:sz w:val="24"/>
                <w:shd w:val="clear" w:color="auto" w:fill="FFFFFF"/>
              </w:rPr>
              <w:t>成立日期</w:t>
            </w:r>
          </w:p>
        </w:tc>
        <w:tc>
          <w:tcPr>
            <w:tcW w:w="3811" w:type="pct"/>
            <w:gridSpan w:val="2"/>
            <w:vAlign w:val="center"/>
          </w:tcPr>
          <w:p w14:paraId="12E2D7FC" w14:textId="5C42E10A" w:rsidR="00B631F9" w:rsidRPr="00B662B3" w:rsidRDefault="00B631F9" w:rsidP="005D4DBF">
            <w:pPr>
              <w:spacing w:line="360" w:lineRule="auto"/>
              <w:rPr>
                <w:bCs/>
                <w:color w:val="000000"/>
                <w:sz w:val="24"/>
                <w:shd w:val="clear" w:color="auto" w:fill="FFFFFF"/>
              </w:rPr>
            </w:pPr>
            <w:r w:rsidRPr="00B631F9"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2004</w:t>
            </w:r>
            <w:r w:rsidRPr="00B631F9"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年</w:t>
            </w:r>
            <w:r w:rsidRPr="00B631F9"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8</w:t>
            </w:r>
            <w:r w:rsidRPr="00B631F9"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月</w:t>
            </w:r>
            <w:r w:rsidRPr="00B631F9"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17</w:t>
            </w:r>
            <w:r w:rsidRPr="00B631F9"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日</w:t>
            </w:r>
          </w:p>
        </w:tc>
      </w:tr>
      <w:tr w:rsidR="00B631F9" w:rsidRPr="00B662B3" w14:paraId="2A415451" w14:textId="77777777" w:rsidTr="00DE5BA2">
        <w:trPr>
          <w:trHeight w:val="340"/>
          <w:jc w:val="center"/>
        </w:trPr>
        <w:tc>
          <w:tcPr>
            <w:tcW w:w="1189" w:type="pct"/>
            <w:vAlign w:val="center"/>
          </w:tcPr>
          <w:p w14:paraId="30B1B88B" w14:textId="77777777" w:rsidR="00B631F9" w:rsidRPr="00B662B3" w:rsidRDefault="00B631F9" w:rsidP="005D4DBF">
            <w:pPr>
              <w:spacing w:line="360" w:lineRule="auto"/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 w:rsidRPr="00B662B3">
              <w:rPr>
                <w:bCs/>
                <w:color w:val="000000"/>
                <w:sz w:val="24"/>
                <w:shd w:val="clear" w:color="auto" w:fill="FFFFFF"/>
              </w:rPr>
              <w:t>注册地址及主要生产经营地</w:t>
            </w:r>
          </w:p>
        </w:tc>
        <w:tc>
          <w:tcPr>
            <w:tcW w:w="3811" w:type="pct"/>
            <w:gridSpan w:val="2"/>
            <w:vAlign w:val="center"/>
          </w:tcPr>
          <w:p w14:paraId="2D0169B7" w14:textId="74A8BFE6" w:rsidR="00B631F9" w:rsidRPr="00B662B3" w:rsidRDefault="00B631F9" w:rsidP="005D4DBF">
            <w:pPr>
              <w:spacing w:line="360" w:lineRule="auto"/>
              <w:rPr>
                <w:bCs/>
                <w:color w:val="000000"/>
                <w:sz w:val="24"/>
                <w:shd w:val="clear" w:color="auto" w:fill="FFFFFF"/>
              </w:rPr>
            </w:pPr>
            <w:r w:rsidRPr="00B631F9"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西安市高新区锦业路</w:t>
            </w:r>
            <w:r w:rsidRPr="00B631F9"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69</w:t>
            </w:r>
            <w:r w:rsidRPr="00B631F9"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号创新商务公寓</w:t>
            </w:r>
            <w:r w:rsidRPr="00B631F9"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3</w:t>
            </w:r>
            <w:r w:rsidRPr="00B631F9"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号楼</w:t>
            </w:r>
            <w:r w:rsidRPr="00B631F9"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10413</w:t>
            </w:r>
            <w:r w:rsidRPr="00B631F9"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室</w:t>
            </w:r>
          </w:p>
        </w:tc>
      </w:tr>
      <w:tr w:rsidR="00B631F9" w:rsidRPr="00B662B3" w14:paraId="1D5E35F4" w14:textId="77777777" w:rsidTr="00DE5BA2">
        <w:trPr>
          <w:trHeight w:val="340"/>
          <w:jc w:val="center"/>
        </w:trPr>
        <w:tc>
          <w:tcPr>
            <w:tcW w:w="1189" w:type="pct"/>
            <w:vAlign w:val="center"/>
          </w:tcPr>
          <w:p w14:paraId="274C822A" w14:textId="77777777" w:rsidR="00B631F9" w:rsidRPr="00B662B3" w:rsidRDefault="00B631F9" w:rsidP="005D4DBF">
            <w:pPr>
              <w:spacing w:line="360" w:lineRule="auto"/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 w:rsidRPr="00B662B3">
              <w:rPr>
                <w:bCs/>
                <w:color w:val="000000"/>
                <w:sz w:val="24"/>
                <w:shd w:val="clear" w:color="auto" w:fill="FFFFFF"/>
              </w:rPr>
              <w:t>主营业务</w:t>
            </w:r>
          </w:p>
        </w:tc>
        <w:tc>
          <w:tcPr>
            <w:tcW w:w="3811" w:type="pct"/>
            <w:gridSpan w:val="2"/>
            <w:vAlign w:val="center"/>
          </w:tcPr>
          <w:p w14:paraId="3D2A5DD3" w14:textId="685D9B00" w:rsidR="00B631F9" w:rsidRPr="00B662B3" w:rsidRDefault="00B631F9" w:rsidP="005D4DBF">
            <w:pPr>
              <w:spacing w:line="360" w:lineRule="auto"/>
              <w:rPr>
                <w:bCs/>
                <w:color w:val="000000"/>
                <w:sz w:val="24"/>
                <w:shd w:val="clear" w:color="auto" w:fill="FFFFFF"/>
              </w:rPr>
            </w:pPr>
            <w:r w:rsidRPr="00B631F9"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水资源信息化解决方案和产品服务提供商</w:t>
            </w:r>
          </w:p>
        </w:tc>
      </w:tr>
      <w:tr w:rsidR="00B631F9" w:rsidRPr="00B662B3" w14:paraId="7320B3D5" w14:textId="77777777" w:rsidTr="00DE5BA2">
        <w:trPr>
          <w:trHeight w:val="340"/>
          <w:jc w:val="center"/>
        </w:trPr>
        <w:tc>
          <w:tcPr>
            <w:tcW w:w="1189" w:type="pct"/>
            <w:vAlign w:val="center"/>
          </w:tcPr>
          <w:p w14:paraId="4248A45D" w14:textId="77777777" w:rsidR="00B631F9" w:rsidRPr="00B662B3" w:rsidRDefault="00B631F9" w:rsidP="005D4DBF">
            <w:pPr>
              <w:spacing w:line="360" w:lineRule="auto"/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 w:rsidRPr="00B662B3">
              <w:rPr>
                <w:bCs/>
                <w:color w:val="000000"/>
                <w:sz w:val="24"/>
                <w:shd w:val="clear" w:color="auto" w:fill="FFFFFF"/>
              </w:rPr>
              <w:t>主要股东</w:t>
            </w:r>
          </w:p>
        </w:tc>
        <w:tc>
          <w:tcPr>
            <w:tcW w:w="3811" w:type="pct"/>
            <w:gridSpan w:val="2"/>
            <w:vAlign w:val="center"/>
          </w:tcPr>
          <w:p w14:paraId="77D64BA3" w14:textId="09C46680" w:rsidR="00B631F9" w:rsidRPr="00B662B3" w:rsidRDefault="00B631F9" w:rsidP="005D4DBF">
            <w:pPr>
              <w:spacing w:line="360" w:lineRule="auto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8"/>
              </w:rPr>
              <w:t>解昌翰、深圳市有方科技股份有限公司、</w:t>
            </w:r>
            <w:r w:rsidRPr="003310AA">
              <w:rPr>
                <w:sz w:val="24"/>
                <w:szCs w:val="28"/>
              </w:rPr>
              <w:t>西安祥翰捷腾企业管理合伙企业（有限合伙）</w:t>
            </w:r>
            <w:r w:rsidRPr="00B662B3">
              <w:rPr>
                <w:bCs/>
                <w:color w:val="000000"/>
                <w:sz w:val="24"/>
                <w:shd w:val="clear" w:color="auto" w:fill="FFFFFF"/>
              </w:rPr>
              <w:t>等</w:t>
            </w:r>
          </w:p>
        </w:tc>
      </w:tr>
      <w:tr w:rsidR="00B631F9" w:rsidRPr="00B662B3" w14:paraId="135272E2" w14:textId="77777777" w:rsidTr="00DE5BA2">
        <w:trPr>
          <w:trHeight w:val="340"/>
          <w:jc w:val="center"/>
        </w:trPr>
        <w:tc>
          <w:tcPr>
            <w:tcW w:w="1189" w:type="pct"/>
            <w:vMerge w:val="restart"/>
            <w:vAlign w:val="center"/>
          </w:tcPr>
          <w:p w14:paraId="489FE9E4" w14:textId="25BB26F7" w:rsidR="00B631F9" w:rsidRPr="00B662B3" w:rsidRDefault="00B631F9" w:rsidP="005D4DBF">
            <w:pPr>
              <w:spacing w:line="360" w:lineRule="auto"/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 w:rsidRPr="00B662B3">
              <w:rPr>
                <w:bCs/>
                <w:color w:val="000000"/>
                <w:sz w:val="24"/>
                <w:shd w:val="clear" w:color="auto" w:fill="FFFFFF"/>
              </w:rPr>
              <w:t>主要财务数据（万元）</w:t>
            </w:r>
            <w:r w:rsidR="001B131C" w:rsidRPr="00B662B3">
              <w:rPr>
                <w:bCs/>
                <w:color w:val="000000"/>
                <w:sz w:val="24"/>
                <w:shd w:val="clear" w:color="auto" w:fill="FFFFFF"/>
              </w:rPr>
              <w:t>（未经审计）</w:t>
            </w:r>
          </w:p>
        </w:tc>
        <w:tc>
          <w:tcPr>
            <w:tcW w:w="1270" w:type="pct"/>
            <w:vAlign w:val="center"/>
          </w:tcPr>
          <w:p w14:paraId="39DC9EE1" w14:textId="77777777" w:rsidR="00B631F9" w:rsidRPr="00B662B3" w:rsidRDefault="00B631F9" w:rsidP="005D4DBF">
            <w:pPr>
              <w:spacing w:line="360" w:lineRule="auto"/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 w:rsidRPr="00B662B3">
              <w:rPr>
                <w:bCs/>
                <w:color w:val="000000"/>
                <w:sz w:val="24"/>
                <w:shd w:val="clear" w:color="auto" w:fill="FFFFFF"/>
              </w:rPr>
              <w:t>项目</w:t>
            </w:r>
          </w:p>
        </w:tc>
        <w:tc>
          <w:tcPr>
            <w:tcW w:w="2541" w:type="pct"/>
            <w:vAlign w:val="center"/>
          </w:tcPr>
          <w:p w14:paraId="5FC7E96A" w14:textId="03927EB0" w:rsidR="00B631F9" w:rsidRPr="00B662B3" w:rsidRDefault="00B631F9" w:rsidP="005D4DBF">
            <w:pPr>
              <w:spacing w:line="360" w:lineRule="auto"/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 w:rsidRPr="00B662B3">
              <w:rPr>
                <w:bCs/>
                <w:color w:val="000000"/>
                <w:sz w:val="24"/>
                <w:shd w:val="clear" w:color="auto" w:fill="FFFFFF"/>
              </w:rPr>
              <w:t>20</w:t>
            </w:r>
            <w:r w:rsidR="004B6661"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20</w:t>
            </w:r>
            <w:r w:rsidRPr="00B662B3">
              <w:rPr>
                <w:bCs/>
                <w:color w:val="000000"/>
                <w:sz w:val="24"/>
                <w:shd w:val="clear" w:color="auto" w:fill="FFFFFF"/>
              </w:rPr>
              <w:t>年</w:t>
            </w:r>
            <w:r>
              <w:rPr>
                <w:bCs/>
                <w:color w:val="000000"/>
                <w:sz w:val="24"/>
                <w:shd w:val="clear" w:color="auto" w:fill="FFFFFF"/>
              </w:rPr>
              <w:t>12</w:t>
            </w:r>
            <w:r w:rsidRPr="00B662B3">
              <w:rPr>
                <w:bCs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bCs/>
                <w:color w:val="000000"/>
                <w:sz w:val="24"/>
                <w:shd w:val="clear" w:color="auto" w:fill="FFFFFF"/>
              </w:rPr>
              <w:t>31</w:t>
            </w:r>
            <w:r w:rsidRPr="00B662B3">
              <w:rPr>
                <w:bCs/>
                <w:color w:val="000000"/>
                <w:sz w:val="24"/>
                <w:shd w:val="clear" w:color="auto" w:fill="FFFFFF"/>
              </w:rPr>
              <w:t>日</w:t>
            </w:r>
            <w:r w:rsidRPr="00B662B3">
              <w:rPr>
                <w:bCs/>
                <w:color w:val="000000"/>
                <w:sz w:val="24"/>
                <w:shd w:val="clear" w:color="auto" w:fill="FFFFFF"/>
              </w:rPr>
              <w:t>/20</w:t>
            </w:r>
            <w:r w:rsidR="004B6661"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20</w:t>
            </w:r>
            <w:r w:rsidRPr="00B662B3">
              <w:rPr>
                <w:bCs/>
                <w:color w:val="000000"/>
                <w:sz w:val="24"/>
                <w:shd w:val="clear" w:color="auto" w:fill="FFFFFF"/>
              </w:rPr>
              <w:t>年度</w:t>
            </w:r>
          </w:p>
        </w:tc>
      </w:tr>
      <w:tr w:rsidR="00B631F9" w:rsidRPr="00B662B3" w14:paraId="4A6573DA" w14:textId="77777777" w:rsidTr="00DE5BA2">
        <w:trPr>
          <w:trHeight w:val="340"/>
          <w:jc w:val="center"/>
        </w:trPr>
        <w:tc>
          <w:tcPr>
            <w:tcW w:w="1189" w:type="pct"/>
            <w:vMerge/>
            <w:vAlign w:val="center"/>
          </w:tcPr>
          <w:p w14:paraId="5D0E06BD" w14:textId="77777777" w:rsidR="00B631F9" w:rsidRPr="00B662B3" w:rsidRDefault="00B631F9" w:rsidP="005D4DBF">
            <w:pPr>
              <w:spacing w:line="360" w:lineRule="auto"/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pct"/>
            <w:vAlign w:val="center"/>
          </w:tcPr>
          <w:p w14:paraId="7E257B2A" w14:textId="77777777" w:rsidR="00B631F9" w:rsidRPr="00B662B3" w:rsidRDefault="00B631F9" w:rsidP="005D4DBF">
            <w:pPr>
              <w:spacing w:line="360" w:lineRule="auto"/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 w:rsidRPr="00B662B3">
              <w:rPr>
                <w:bCs/>
                <w:color w:val="000000"/>
                <w:sz w:val="24"/>
                <w:shd w:val="clear" w:color="auto" w:fill="FFFFFF"/>
              </w:rPr>
              <w:t>总资产</w:t>
            </w:r>
          </w:p>
        </w:tc>
        <w:tc>
          <w:tcPr>
            <w:tcW w:w="2541" w:type="pct"/>
            <w:vAlign w:val="center"/>
          </w:tcPr>
          <w:p w14:paraId="7EF2F9C8" w14:textId="23B491DF" w:rsidR="00B631F9" w:rsidRPr="00B662B3" w:rsidRDefault="008234C7" w:rsidP="005D4DBF">
            <w:pPr>
              <w:spacing w:line="360" w:lineRule="auto"/>
              <w:jc w:val="right"/>
              <w:rPr>
                <w:bCs/>
                <w:color w:val="000000"/>
                <w:sz w:val="24"/>
                <w:shd w:val="clear" w:color="auto" w:fill="FFFFFF"/>
              </w:rPr>
            </w:pPr>
            <w:r w:rsidRPr="008234C7">
              <w:rPr>
                <w:sz w:val="24"/>
                <w:szCs w:val="28"/>
              </w:rPr>
              <w:t>6,235.28</w:t>
            </w:r>
          </w:p>
        </w:tc>
      </w:tr>
      <w:tr w:rsidR="00B631F9" w:rsidRPr="00B662B3" w14:paraId="0B662108" w14:textId="77777777" w:rsidTr="00DE5BA2">
        <w:trPr>
          <w:trHeight w:val="340"/>
          <w:jc w:val="center"/>
        </w:trPr>
        <w:tc>
          <w:tcPr>
            <w:tcW w:w="1189" w:type="pct"/>
            <w:vMerge/>
            <w:vAlign w:val="center"/>
          </w:tcPr>
          <w:p w14:paraId="311A5853" w14:textId="77777777" w:rsidR="00B631F9" w:rsidRPr="00B662B3" w:rsidRDefault="00B631F9" w:rsidP="005D4DBF">
            <w:pPr>
              <w:spacing w:line="360" w:lineRule="auto"/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pct"/>
            <w:vAlign w:val="center"/>
          </w:tcPr>
          <w:p w14:paraId="5ABB31BB" w14:textId="77777777" w:rsidR="00B631F9" w:rsidRPr="00B662B3" w:rsidRDefault="00B631F9" w:rsidP="005D4DBF">
            <w:pPr>
              <w:spacing w:line="360" w:lineRule="auto"/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 w:rsidRPr="00B662B3">
              <w:rPr>
                <w:bCs/>
                <w:color w:val="000000"/>
                <w:sz w:val="24"/>
                <w:shd w:val="clear" w:color="auto" w:fill="FFFFFF"/>
              </w:rPr>
              <w:t>净资产</w:t>
            </w:r>
          </w:p>
        </w:tc>
        <w:tc>
          <w:tcPr>
            <w:tcW w:w="2541" w:type="pct"/>
            <w:vAlign w:val="center"/>
          </w:tcPr>
          <w:p w14:paraId="5A6FBB02" w14:textId="6060FD11" w:rsidR="00B631F9" w:rsidRPr="00B662B3" w:rsidRDefault="008234C7" w:rsidP="005D4DBF">
            <w:pPr>
              <w:spacing w:line="360" w:lineRule="auto"/>
              <w:jc w:val="right"/>
              <w:rPr>
                <w:bCs/>
                <w:color w:val="000000"/>
                <w:sz w:val="24"/>
                <w:shd w:val="clear" w:color="auto" w:fill="FFFFFF"/>
              </w:rPr>
            </w:pPr>
            <w:r w:rsidRPr="008234C7">
              <w:rPr>
                <w:sz w:val="24"/>
                <w:szCs w:val="28"/>
              </w:rPr>
              <w:t>3,727.34</w:t>
            </w:r>
          </w:p>
        </w:tc>
      </w:tr>
      <w:tr w:rsidR="00B631F9" w:rsidRPr="00B662B3" w14:paraId="0A19F89D" w14:textId="77777777" w:rsidTr="00DE5BA2">
        <w:trPr>
          <w:trHeight w:val="340"/>
          <w:jc w:val="center"/>
        </w:trPr>
        <w:tc>
          <w:tcPr>
            <w:tcW w:w="1189" w:type="pct"/>
            <w:vMerge/>
            <w:vAlign w:val="center"/>
          </w:tcPr>
          <w:p w14:paraId="680DF98F" w14:textId="77777777" w:rsidR="00B631F9" w:rsidRPr="00B662B3" w:rsidRDefault="00B631F9" w:rsidP="005D4DBF">
            <w:pPr>
              <w:spacing w:line="360" w:lineRule="auto"/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pct"/>
            <w:vAlign w:val="center"/>
          </w:tcPr>
          <w:p w14:paraId="7B2BD1FD" w14:textId="77777777" w:rsidR="00B631F9" w:rsidRPr="00B662B3" w:rsidRDefault="00B631F9" w:rsidP="005D4DBF">
            <w:pPr>
              <w:spacing w:line="360" w:lineRule="auto"/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 w:rsidRPr="00B662B3">
              <w:rPr>
                <w:bCs/>
                <w:color w:val="000000"/>
                <w:sz w:val="24"/>
                <w:shd w:val="clear" w:color="auto" w:fill="FFFFFF"/>
              </w:rPr>
              <w:t>营业收入</w:t>
            </w:r>
          </w:p>
        </w:tc>
        <w:tc>
          <w:tcPr>
            <w:tcW w:w="2541" w:type="pct"/>
            <w:vAlign w:val="center"/>
          </w:tcPr>
          <w:p w14:paraId="5B23DE74" w14:textId="0F92AE44" w:rsidR="00B631F9" w:rsidRPr="00B662B3" w:rsidRDefault="008234C7" w:rsidP="005D4DBF">
            <w:pPr>
              <w:spacing w:line="360" w:lineRule="auto"/>
              <w:jc w:val="right"/>
              <w:rPr>
                <w:bCs/>
                <w:color w:val="000000"/>
                <w:sz w:val="24"/>
                <w:shd w:val="clear" w:color="auto" w:fill="FFFFFF"/>
              </w:rPr>
            </w:pPr>
            <w:r w:rsidRPr="008234C7">
              <w:rPr>
                <w:sz w:val="24"/>
                <w:szCs w:val="28"/>
              </w:rPr>
              <w:t>4,061.15</w:t>
            </w:r>
          </w:p>
        </w:tc>
      </w:tr>
      <w:tr w:rsidR="00B631F9" w:rsidRPr="00B662B3" w14:paraId="5FFFDB33" w14:textId="77777777" w:rsidTr="00DE5BA2">
        <w:trPr>
          <w:trHeight w:val="340"/>
          <w:jc w:val="center"/>
        </w:trPr>
        <w:tc>
          <w:tcPr>
            <w:tcW w:w="1189" w:type="pct"/>
            <w:vMerge/>
            <w:vAlign w:val="center"/>
          </w:tcPr>
          <w:p w14:paraId="216344CD" w14:textId="77777777" w:rsidR="00B631F9" w:rsidRPr="00B662B3" w:rsidRDefault="00B631F9" w:rsidP="005D4DBF">
            <w:pPr>
              <w:spacing w:line="360" w:lineRule="auto"/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pct"/>
            <w:vAlign w:val="center"/>
          </w:tcPr>
          <w:p w14:paraId="785334ED" w14:textId="77777777" w:rsidR="00B631F9" w:rsidRPr="00B662B3" w:rsidRDefault="00B631F9" w:rsidP="005D4DBF">
            <w:pPr>
              <w:spacing w:line="360" w:lineRule="auto"/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 w:rsidRPr="00B662B3">
              <w:rPr>
                <w:bCs/>
                <w:color w:val="000000"/>
                <w:sz w:val="24"/>
                <w:shd w:val="clear" w:color="auto" w:fill="FFFFFF"/>
              </w:rPr>
              <w:t>净利润</w:t>
            </w:r>
          </w:p>
        </w:tc>
        <w:tc>
          <w:tcPr>
            <w:tcW w:w="2541" w:type="pct"/>
            <w:vAlign w:val="center"/>
          </w:tcPr>
          <w:p w14:paraId="2B225ABD" w14:textId="66636A73" w:rsidR="00B631F9" w:rsidRPr="00B662B3" w:rsidRDefault="008234C7" w:rsidP="005D4DBF">
            <w:pPr>
              <w:spacing w:line="360" w:lineRule="auto"/>
              <w:jc w:val="right"/>
              <w:rPr>
                <w:bCs/>
                <w:color w:val="000000"/>
                <w:sz w:val="24"/>
                <w:shd w:val="clear" w:color="auto" w:fill="FFFFFF"/>
              </w:rPr>
            </w:pPr>
            <w:r w:rsidRPr="008234C7">
              <w:rPr>
                <w:sz w:val="24"/>
                <w:szCs w:val="28"/>
              </w:rPr>
              <w:t>-669.11</w:t>
            </w:r>
          </w:p>
        </w:tc>
      </w:tr>
    </w:tbl>
    <w:p w14:paraId="08D8BC8D" w14:textId="77777777" w:rsidR="002C38A4" w:rsidRDefault="008C5B37" w:rsidP="002C38A4">
      <w:pPr>
        <w:adjustRightInd w:val="0"/>
        <w:spacing w:line="360" w:lineRule="auto"/>
        <w:ind w:firstLineChars="200" w:firstLine="560"/>
        <w:jc w:val="left"/>
        <w:rPr>
          <w:bCs/>
          <w:sz w:val="28"/>
          <w:szCs w:val="28"/>
        </w:rPr>
      </w:pPr>
      <w:r w:rsidRPr="00B662B3">
        <w:rPr>
          <w:bCs/>
          <w:sz w:val="28"/>
          <w:szCs w:val="28"/>
        </w:rPr>
        <w:t>（二）与上市公司的关联关系</w:t>
      </w:r>
    </w:p>
    <w:p w14:paraId="311334B3" w14:textId="60F3ED05" w:rsidR="00092A9B" w:rsidRDefault="00092A9B" w:rsidP="002C38A4">
      <w:pPr>
        <w:adjustRightInd w:val="0"/>
        <w:spacing w:line="360" w:lineRule="auto"/>
        <w:ind w:firstLineChars="200" w:firstLine="560"/>
        <w:jc w:val="left"/>
        <w:rPr>
          <w:bCs/>
          <w:sz w:val="28"/>
          <w:szCs w:val="28"/>
        </w:rPr>
      </w:pPr>
      <w:r w:rsidRPr="00092A9B">
        <w:rPr>
          <w:rFonts w:hint="eastAsia"/>
          <w:bCs/>
          <w:sz w:val="28"/>
          <w:szCs w:val="28"/>
        </w:rPr>
        <w:lastRenderedPageBreak/>
        <w:t>公司持</w:t>
      </w:r>
      <w:r>
        <w:rPr>
          <w:rFonts w:hint="eastAsia"/>
          <w:bCs/>
          <w:sz w:val="28"/>
          <w:szCs w:val="28"/>
        </w:rPr>
        <w:t>有西安迅腾</w:t>
      </w:r>
      <w:r w:rsidRPr="00092A9B">
        <w:rPr>
          <w:rFonts w:hint="eastAsia"/>
          <w:bCs/>
          <w:sz w:val="28"/>
          <w:szCs w:val="28"/>
        </w:rPr>
        <w:t>30%</w:t>
      </w:r>
      <w:r>
        <w:rPr>
          <w:rFonts w:hint="eastAsia"/>
          <w:bCs/>
          <w:sz w:val="28"/>
          <w:szCs w:val="28"/>
        </w:rPr>
        <w:t>的股权</w:t>
      </w:r>
      <w:r w:rsidRPr="00092A9B">
        <w:rPr>
          <w:rFonts w:hint="eastAsia"/>
          <w:bCs/>
          <w:sz w:val="28"/>
          <w:szCs w:val="28"/>
        </w:rPr>
        <w:t>，同时公司董事魏琼</w:t>
      </w:r>
      <w:r>
        <w:rPr>
          <w:rFonts w:hint="eastAsia"/>
          <w:bCs/>
          <w:sz w:val="28"/>
          <w:szCs w:val="28"/>
        </w:rPr>
        <w:t>在西安迅腾担任</w:t>
      </w:r>
      <w:r w:rsidRPr="00092A9B">
        <w:rPr>
          <w:rFonts w:hint="eastAsia"/>
          <w:bCs/>
          <w:sz w:val="28"/>
          <w:szCs w:val="28"/>
        </w:rPr>
        <w:t>董事</w:t>
      </w:r>
      <w:r>
        <w:rPr>
          <w:rFonts w:hint="eastAsia"/>
          <w:bCs/>
          <w:sz w:val="28"/>
          <w:szCs w:val="28"/>
        </w:rPr>
        <w:t>。</w:t>
      </w:r>
    </w:p>
    <w:p w14:paraId="36959581" w14:textId="757BFFDA" w:rsidR="00A9530D" w:rsidRPr="00B662B3" w:rsidRDefault="008C5B37" w:rsidP="005D4DBF">
      <w:pPr>
        <w:adjustRightInd w:val="0"/>
        <w:spacing w:line="360" w:lineRule="auto"/>
        <w:ind w:firstLineChars="200" w:firstLine="560"/>
        <w:jc w:val="left"/>
        <w:rPr>
          <w:bCs/>
          <w:sz w:val="28"/>
          <w:szCs w:val="28"/>
        </w:rPr>
      </w:pPr>
      <w:r w:rsidRPr="00B662B3">
        <w:rPr>
          <w:bCs/>
          <w:sz w:val="28"/>
          <w:szCs w:val="28"/>
        </w:rPr>
        <w:t>（三）履约能力分析</w:t>
      </w:r>
    </w:p>
    <w:p w14:paraId="2395467D" w14:textId="31AD508B" w:rsidR="00B662B3" w:rsidRDefault="002C38A4" w:rsidP="005D4DBF">
      <w:pPr>
        <w:adjustRightInd w:val="0"/>
        <w:spacing w:line="360" w:lineRule="auto"/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西安迅腾</w:t>
      </w:r>
      <w:r w:rsidR="00B662B3" w:rsidRPr="00B662B3">
        <w:rPr>
          <w:rFonts w:hint="eastAsia"/>
          <w:bCs/>
          <w:sz w:val="28"/>
          <w:szCs w:val="28"/>
        </w:rPr>
        <w:t>依法持续经营，过往发生的交易能正常实施并结算</w:t>
      </w:r>
      <w:r w:rsidR="00B76310">
        <w:rPr>
          <w:rFonts w:hint="eastAsia"/>
          <w:bCs/>
          <w:sz w:val="28"/>
          <w:szCs w:val="28"/>
        </w:rPr>
        <w:t>，</w:t>
      </w:r>
      <w:r w:rsidR="00B662B3" w:rsidRPr="00B662B3">
        <w:rPr>
          <w:rFonts w:hint="eastAsia"/>
          <w:bCs/>
          <w:sz w:val="28"/>
          <w:szCs w:val="28"/>
        </w:rPr>
        <w:t>具备良好的履约能力。公司将就</w:t>
      </w:r>
      <w:r w:rsidR="00B662B3" w:rsidRPr="00B662B3">
        <w:rPr>
          <w:rFonts w:hint="eastAsia"/>
          <w:bCs/>
          <w:sz w:val="28"/>
          <w:szCs w:val="28"/>
        </w:rPr>
        <w:t>202</w:t>
      </w:r>
      <w:r w:rsidR="00F40EB8">
        <w:rPr>
          <w:rFonts w:hint="eastAsia"/>
          <w:bCs/>
          <w:sz w:val="28"/>
          <w:szCs w:val="28"/>
        </w:rPr>
        <w:t>1</w:t>
      </w:r>
      <w:r w:rsidR="00B662B3" w:rsidRPr="00B662B3">
        <w:rPr>
          <w:rFonts w:hint="eastAsia"/>
          <w:bCs/>
          <w:sz w:val="28"/>
          <w:szCs w:val="28"/>
        </w:rPr>
        <w:t>年度预计发生的日常关联交易与</w:t>
      </w:r>
      <w:r>
        <w:rPr>
          <w:rFonts w:hint="eastAsia"/>
          <w:bCs/>
          <w:sz w:val="28"/>
          <w:szCs w:val="28"/>
        </w:rPr>
        <w:t>其</w:t>
      </w:r>
      <w:r w:rsidR="00B662B3" w:rsidRPr="00B662B3">
        <w:rPr>
          <w:rFonts w:hint="eastAsia"/>
          <w:bCs/>
          <w:sz w:val="28"/>
          <w:szCs w:val="28"/>
        </w:rPr>
        <w:t>签署合同或协议并严格按照约定执行，履约具有法律保障。</w:t>
      </w:r>
      <w:r w:rsidR="00B76310">
        <w:rPr>
          <w:rFonts w:hint="eastAsia"/>
          <w:bCs/>
          <w:sz w:val="28"/>
          <w:szCs w:val="28"/>
        </w:rPr>
        <w:t>此外，公司能基于股东身份获悉西安迅腾的生产经营状况，进而能对履约能力进行判断并采取必要措施控制风险。</w:t>
      </w:r>
    </w:p>
    <w:p w14:paraId="30BDEDF9" w14:textId="77777777" w:rsidR="008C5B37" w:rsidRPr="00B662B3" w:rsidRDefault="008C5B37" w:rsidP="005D4DBF">
      <w:pPr>
        <w:adjustRightInd w:val="0"/>
        <w:spacing w:line="360" w:lineRule="auto"/>
        <w:ind w:firstLineChars="200" w:firstLine="562"/>
        <w:jc w:val="left"/>
        <w:rPr>
          <w:b/>
          <w:bCs/>
          <w:sz w:val="28"/>
          <w:szCs w:val="28"/>
        </w:rPr>
      </w:pPr>
      <w:r w:rsidRPr="00B662B3">
        <w:rPr>
          <w:b/>
          <w:bCs/>
          <w:sz w:val="28"/>
          <w:szCs w:val="28"/>
        </w:rPr>
        <w:t>三、</w:t>
      </w:r>
      <w:r w:rsidR="00A950A4" w:rsidRPr="00B662B3">
        <w:rPr>
          <w:b/>
          <w:bCs/>
          <w:sz w:val="28"/>
          <w:szCs w:val="28"/>
        </w:rPr>
        <w:t>日常</w:t>
      </w:r>
      <w:r w:rsidRPr="00B662B3">
        <w:rPr>
          <w:b/>
          <w:bCs/>
          <w:sz w:val="28"/>
          <w:szCs w:val="28"/>
        </w:rPr>
        <w:t>关联交易主要内容</w:t>
      </w:r>
    </w:p>
    <w:p w14:paraId="015F24A8" w14:textId="77777777" w:rsidR="008C5B37" w:rsidRPr="00B662B3" w:rsidRDefault="005A6393" w:rsidP="005D4DBF">
      <w:pPr>
        <w:adjustRightInd w:val="0"/>
        <w:spacing w:line="360" w:lineRule="auto"/>
        <w:ind w:firstLineChars="200" w:firstLine="560"/>
        <w:jc w:val="left"/>
        <w:rPr>
          <w:bCs/>
          <w:sz w:val="28"/>
          <w:szCs w:val="28"/>
        </w:rPr>
      </w:pPr>
      <w:r w:rsidRPr="00B662B3">
        <w:rPr>
          <w:bCs/>
          <w:sz w:val="28"/>
          <w:szCs w:val="28"/>
        </w:rPr>
        <w:t>（一）关联交易主要内容</w:t>
      </w:r>
    </w:p>
    <w:p w14:paraId="3A0DE12D" w14:textId="3E1A598C" w:rsidR="005B67C4" w:rsidRDefault="005B67C4" w:rsidP="005D4DBF">
      <w:pPr>
        <w:adjustRightInd w:val="0"/>
        <w:spacing w:line="360" w:lineRule="auto"/>
        <w:ind w:firstLineChars="200" w:firstLine="560"/>
        <w:rPr>
          <w:bCs/>
          <w:sz w:val="28"/>
          <w:szCs w:val="28"/>
        </w:rPr>
      </w:pPr>
      <w:r w:rsidRPr="005B67C4">
        <w:rPr>
          <w:rFonts w:hint="eastAsia"/>
          <w:bCs/>
          <w:sz w:val="28"/>
          <w:szCs w:val="28"/>
        </w:rPr>
        <w:t>公司</w:t>
      </w:r>
      <w:r>
        <w:rPr>
          <w:rFonts w:hint="eastAsia"/>
          <w:bCs/>
          <w:sz w:val="28"/>
          <w:szCs w:val="28"/>
        </w:rPr>
        <w:t>及子公司</w:t>
      </w:r>
      <w:r w:rsidR="009860E7">
        <w:rPr>
          <w:rFonts w:hint="eastAsia"/>
          <w:bCs/>
          <w:sz w:val="28"/>
          <w:szCs w:val="28"/>
        </w:rPr>
        <w:t>增加</w:t>
      </w:r>
      <w:r w:rsidRPr="005B67C4">
        <w:rPr>
          <w:rFonts w:hint="eastAsia"/>
          <w:bCs/>
          <w:sz w:val="28"/>
          <w:szCs w:val="28"/>
        </w:rPr>
        <w:t>预计</w:t>
      </w:r>
      <w:r w:rsidR="009860E7">
        <w:rPr>
          <w:rFonts w:hint="eastAsia"/>
          <w:bCs/>
          <w:sz w:val="28"/>
          <w:szCs w:val="28"/>
        </w:rPr>
        <w:t>的</w:t>
      </w:r>
      <w:r w:rsidRPr="005B67C4">
        <w:rPr>
          <w:rFonts w:hint="eastAsia"/>
          <w:bCs/>
          <w:sz w:val="28"/>
          <w:szCs w:val="28"/>
        </w:rPr>
        <w:t>日常关联交易主要为向</w:t>
      </w:r>
      <w:r w:rsidR="009860E7">
        <w:rPr>
          <w:rFonts w:hint="eastAsia"/>
          <w:bCs/>
          <w:sz w:val="28"/>
          <w:szCs w:val="28"/>
        </w:rPr>
        <w:t>西安迅腾</w:t>
      </w:r>
      <w:r w:rsidRPr="005B67C4">
        <w:rPr>
          <w:rFonts w:hint="eastAsia"/>
          <w:bCs/>
          <w:sz w:val="28"/>
          <w:szCs w:val="28"/>
        </w:rPr>
        <w:t>销售物联网无线通信</w:t>
      </w:r>
      <w:r w:rsidR="009860E7">
        <w:rPr>
          <w:rFonts w:hint="eastAsia"/>
          <w:bCs/>
          <w:sz w:val="28"/>
          <w:szCs w:val="28"/>
        </w:rPr>
        <w:t>产品及</w:t>
      </w:r>
      <w:r w:rsidR="00B246DC">
        <w:rPr>
          <w:rFonts w:hint="eastAsia"/>
          <w:bCs/>
          <w:sz w:val="28"/>
          <w:szCs w:val="28"/>
        </w:rPr>
        <w:t>电子</w:t>
      </w:r>
      <w:r w:rsidR="009860E7">
        <w:rPr>
          <w:rFonts w:hint="eastAsia"/>
          <w:bCs/>
          <w:sz w:val="28"/>
          <w:szCs w:val="28"/>
        </w:rPr>
        <w:t>元器件等物料</w:t>
      </w:r>
      <w:r w:rsidRPr="005B67C4">
        <w:rPr>
          <w:rFonts w:hint="eastAsia"/>
          <w:bCs/>
          <w:sz w:val="28"/>
          <w:szCs w:val="28"/>
        </w:rPr>
        <w:t>，关联交易价格遵循公平、自愿原则，根据具体产品的规格型号</w:t>
      </w:r>
      <w:r w:rsidR="0088443A">
        <w:rPr>
          <w:rFonts w:hint="eastAsia"/>
          <w:bCs/>
          <w:sz w:val="28"/>
          <w:szCs w:val="28"/>
        </w:rPr>
        <w:t>以及</w:t>
      </w:r>
      <w:r w:rsidRPr="005B67C4">
        <w:rPr>
          <w:rFonts w:hint="eastAsia"/>
          <w:bCs/>
          <w:sz w:val="28"/>
          <w:szCs w:val="28"/>
        </w:rPr>
        <w:t>市场价格确定。</w:t>
      </w:r>
    </w:p>
    <w:p w14:paraId="41845244" w14:textId="77777777" w:rsidR="008C5B37" w:rsidRPr="00B662B3" w:rsidRDefault="000B1DA0" w:rsidP="005D4DBF">
      <w:pPr>
        <w:adjustRightInd w:val="0"/>
        <w:spacing w:line="360" w:lineRule="auto"/>
        <w:ind w:firstLineChars="200" w:firstLine="560"/>
        <w:jc w:val="left"/>
        <w:rPr>
          <w:bCs/>
          <w:sz w:val="28"/>
          <w:szCs w:val="28"/>
        </w:rPr>
      </w:pPr>
      <w:r w:rsidRPr="00B662B3">
        <w:rPr>
          <w:bCs/>
          <w:sz w:val="28"/>
          <w:szCs w:val="28"/>
        </w:rPr>
        <w:t>（二）</w:t>
      </w:r>
      <w:r w:rsidR="008C5B37" w:rsidRPr="00B662B3">
        <w:rPr>
          <w:bCs/>
          <w:sz w:val="28"/>
          <w:szCs w:val="28"/>
        </w:rPr>
        <w:t>关联交易协议签署情况</w:t>
      </w:r>
    </w:p>
    <w:p w14:paraId="0C54D49F" w14:textId="39E516F0" w:rsidR="005B67C4" w:rsidRDefault="009860E7" w:rsidP="005D4DBF">
      <w:pPr>
        <w:adjustRightInd w:val="0"/>
        <w:spacing w:line="360" w:lineRule="auto"/>
        <w:ind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本次增加预计的</w:t>
      </w:r>
      <w:r w:rsidR="005B67C4" w:rsidRPr="005B67C4">
        <w:rPr>
          <w:rFonts w:hint="eastAsia"/>
          <w:bCs/>
          <w:sz w:val="28"/>
          <w:szCs w:val="28"/>
        </w:rPr>
        <w:t>日常关联交易额度事项经股东大会审议通过后，公司</w:t>
      </w:r>
      <w:r w:rsidR="005B67C4">
        <w:rPr>
          <w:rFonts w:hint="eastAsia"/>
          <w:bCs/>
          <w:sz w:val="28"/>
          <w:szCs w:val="28"/>
        </w:rPr>
        <w:t>及子公司</w:t>
      </w:r>
      <w:r w:rsidR="005B67C4" w:rsidRPr="005B67C4">
        <w:rPr>
          <w:rFonts w:hint="eastAsia"/>
          <w:bCs/>
          <w:sz w:val="28"/>
          <w:szCs w:val="28"/>
        </w:rPr>
        <w:t>将根据业务开展情况与</w:t>
      </w:r>
      <w:r w:rsidR="0088443A">
        <w:rPr>
          <w:rFonts w:hint="eastAsia"/>
          <w:bCs/>
          <w:sz w:val="28"/>
          <w:szCs w:val="28"/>
        </w:rPr>
        <w:t>西安迅腾</w:t>
      </w:r>
      <w:r w:rsidR="005B67C4" w:rsidRPr="005B67C4">
        <w:rPr>
          <w:rFonts w:hint="eastAsia"/>
          <w:bCs/>
          <w:sz w:val="28"/>
          <w:szCs w:val="28"/>
        </w:rPr>
        <w:t>签署具体的交易合同或协议。</w:t>
      </w:r>
    </w:p>
    <w:p w14:paraId="2D6D8A0A" w14:textId="77777777" w:rsidR="008C5B37" w:rsidRPr="00B662B3" w:rsidRDefault="008C5B37" w:rsidP="005D4DBF">
      <w:pPr>
        <w:adjustRightInd w:val="0"/>
        <w:spacing w:line="360" w:lineRule="auto"/>
        <w:ind w:firstLineChars="200" w:firstLine="562"/>
        <w:jc w:val="left"/>
        <w:rPr>
          <w:b/>
          <w:bCs/>
          <w:sz w:val="28"/>
          <w:szCs w:val="28"/>
        </w:rPr>
      </w:pPr>
      <w:r w:rsidRPr="00B662B3">
        <w:rPr>
          <w:b/>
          <w:bCs/>
          <w:sz w:val="28"/>
          <w:szCs w:val="28"/>
        </w:rPr>
        <w:t>四、</w:t>
      </w:r>
      <w:r w:rsidR="00A950A4" w:rsidRPr="00B662B3">
        <w:rPr>
          <w:b/>
          <w:bCs/>
          <w:sz w:val="28"/>
          <w:szCs w:val="28"/>
        </w:rPr>
        <w:t>日常</w:t>
      </w:r>
      <w:r w:rsidRPr="00B662B3">
        <w:rPr>
          <w:b/>
          <w:bCs/>
          <w:sz w:val="28"/>
          <w:szCs w:val="28"/>
        </w:rPr>
        <w:t>关联交易目的和对上市公司的影响</w:t>
      </w:r>
    </w:p>
    <w:p w14:paraId="5E5576E6" w14:textId="77777777" w:rsidR="00AE754C" w:rsidRPr="00AE754C" w:rsidRDefault="00AE754C" w:rsidP="005D4DBF">
      <w:pPr>
        <w:adjustRightInd w:val="0"/>
        <w:spacing w:line="360" w:lineRule="auto"/>
        <w:ind w:firstLineChars="200" w:firstLine="560"/>
        <w:rPr>
          <w:bCs/>
          <w:sz w:val="28"/>
          <w:szCs w:val="28"/>
        </w:rPr>
      </w:pPr>
      <w:r w:rsidRPr="00AE754C">
        <w:rPr>
          <w:rFonts w:hint="eastAsia"/>
          <w:bCs/>
          <w:sz w:val="28"/>
          <w:szCs w:val="28"/>
        </w:rPr>
        <w:t>（一）关联交易的必要性</w:t>
      </w:r>
    </w:p>
    <w:p w14:paraId="0FBF4A85" w14:textId="178C56A3" w:rsidR="00BA540B" w:rsidRDefault="00BA540B" w:rsidP="005D4DBF">
      <w:pPr>
        <w:adjustRightInd w:val="0"/>
        <w:spacing w:line="360" w:lineRule="auto"/>
        <w:ind w:firstLineChars="200" w:firstLine="560"/>
        <w:rPr>
          <w:bCs/>
          <w:sz w:val="28"/>
          <w:szCs w:val="28"/>
        </w:rPr>
      </w:pPr>
      <w:r w:rsidRPr="00BA540B">
        <w:rPr>
          <w:rFonts w:hint="eastAsia"/>
          <w:bCs/>
          <w:sz w:val="28"/>
          <w:szCs w:val="28"/>
        </w:rPr>
        <w:t>公司与</w:t>
      </w:r>
      <w:r w:rsidR="00E4676B">
        <w:rPr>
          <w:rFonts w:hint="eastAsia"/>
          <w:bCs/>
          <w:sz w:val="28"/>
          <w:szCs w:val="28"/>
        </w:rPr>
        <w:t>西安迅腾</w:t>
      </w:r>
      <w:r w:rsidRPr="00BA540B">
        <w:rPr>
          <w:rFonts w:hint="eastAsia"/>
          <w:bCs/>
          <w:sz w:val="28"/>
          <w:szCs w:val="28"/>
        </w:rPr>
        <w:t>的日常关联交易为</w:t>
      </w:r>
      <w:r w:rsidR="00E4676B">
        <w:rPr>
          <w:rFonts w:hint="eastAsia"/>
          <w:bCs/>
          <w:sz w:val="28"/>
          <w:szCs w:val="28"/>
        </w:rPr>
        <w:t>双方</w:t>
      </w:r>
      <w:r w:rsidRPr="00BA540B">
        <w:rPr>
          <w:rFonts w:hint="eastAsia"/>
          <w:bCs/>
          <w:sz w:val="28"/>
          <w:szCs w:val="28"/>
        </w:rPr>
        <w:t>开展日常经营活动所需，</w:t>
      </w:r>
      <w:r w:rsidR="00E4676B">
        <w:rPr>
          <w:rFonts w:hint="eastAsia"/>
          <w:bCs/>
          <w:sz w:val="28"/>
          <w:szCs w:val="28"/>
        </w:rPr>
        <w:t>西安迅腾系公司参股投资的公司，</w:t>
      </w:r>
      <w:r w:rsidRPr="00BA540B">
        <w:rPr>
          <w:rFonts w:hint="eastAsia"/>
          <w:bCs/>
          <w:sz w:val="28"/>
          <w:szCs w:val="28"/>
        </w:rPr>
        <w:t>具备良好商业信誉，</w:t>
      </w:r>
      <w:r w:rsidR="00E4676B">
        <w:rPr>
          <w:rFonts w:hint="eastAsia"/>
          <w:bCs/>
          <w:sz w:val="28"/>
          <w:szCs w:val="28"/>
        </w:rPr>
        <w:t>公司与之</w:t>
      </w:r>
      <w:r w:rsidRPr="00BA540B">
        <w:rPr>
          <w:rFonts w:hint="eastAsia"/>
          <w:bCs/>
          <w:sz w:val="28"/>
          <w:szCs w:val="28"/>
        </w:rPr>
        <w:t>合作</w:t>
      </w:r>
      <w:r w:rsidR="00BF798C">
        <w:rPr>
          <w:rFonts w:hint="eastAsia"/>
          <w:bCs/>
          <w:sz w:val="28"/>
          <w:szCs w:val="28"/>
        </w:rPr>
        <w:t>可以充分发挥各自优势，产生协同效应</w:t>
      </w:r>
      <w:r w:rsidRPr="00BA540B">
        <w:rPr>
          <w:rFonts w:hint="eastAsia"/>
          <w:bCs/>
          <w:sz w:val="28"/>
          <w:szCs w:val="28"/>
        </w:rPr>
        <w:t>，有利于公司业务的持续开展</w:t>
      </w:r>
      <w:r w:rsidR="00BF798C">
        <w:rPr>
          <w:rFonts w:hint="eastAsia"/>
          <w:bCs/>
          <w:sz w:val="28"/>
          <w:szCs w:val="28"/>
        </w:rPr>
        <w:lastRenderedPageBreak/>
        <w:t>和带来良好的投资回报</w:t>
      </w:r>
      <w:r w:rsidRPr="00BA540B">
        <w:rPr>
          <w:rFonts w:hint="eastAsia"/>
          <w:bCs/>
          <w:sz w:val="28"/>
          <w:szCs w:val="28"/>
        </w:rPr>
        <w:t>。在公司的生产经营稳定发展的情况下，在一定时间内与</w:t>
      </w:r>
      <w:r w:rsidR="00B246DC">
        <w:rPr>
          <w:rFonts w:hint="eastAsia"/>
          <w:bCs/>
          <w:sz w:val="28"/>
          <w:szCs w:val="28"/>
        </w:rPr>
        <w:t>西安迅腾</w:t>
      </w:r>
      <w:r w:rsidRPr="00BA540B">
        <w:rPr>
          <w:rFonts w:hint="eastAsia"/>
          <w:bCs/>
          <w:sz w:val="28"/>
          <w:szCs w:val="28"/>
        </w:rPr>
        <w:t>之间的关联交易将持续存在。</w:t>
      </w:r>
    </w:p>
    <w:p w14:paraId="389A988C" w14:textId="77777777" w:rsidR="00AE754C" w:rsidRPr="00AE754C" w:rsidRDefault="00AE754C" w:rsidP="005D4DBF">
      <w:pPr>
        <w:adjustRightInd w:val="0"/>
        <w:spacing w:line="360" w:lineRule="auto"/>
        <w:ind w:firstLineChars="200" w:firstLine="560"/>
        <w:rPr>
          <w:bCs/>
          <w:sz w:val="28"/>
          <w:szCs w:val="28"/>
        </w:rPr>
      </w:pPr>
      <w:r w:rsidRPr="00AE754C">
        <w:rPr>
          <w:rFonts w:hint="eastAsia"/>
          <w:bCs/>
          <w:sz w:val="28"/>
          <w:szCs w:val="28"/>
        </w:rPr>
        <w:t>（二）关联交易定价的公允性、合理性</w:t>
      </w:r>
    </w:p>
    <w:p w14:paraId="1DDB1099" w14:textId="2B645FEA" w:rsidR="00BA540B" w:rsidRDefault="00BA540B" w:rsidP="005D4DBF">
      <w:pPr>
        <w:adjustRightInd w:val="0"/>
        <w:spacing w:line="360" w:lineRule="auto"/>
        <w:ind w:firstLineChars="200" w:firstLine="560"/>
        <w:jc w:val="left"/>
        <w:rPr>
          <w:bCs/>
          <w:sz w:val="28"/>
          <w:szCs w:val="28"/>
        </w:rPr>
      </w:pPr>
      <w:r w:rsidRPr="00BA540B">
        <w:rPr>
          <w:rFonts w:hint="eastAsia"/>
          <w:bCs/>
          <w:sz w:val="28"/>
          <w:szCs w:val="28"/>
        </w:rPr>
        <w:t>公司与</w:t>
      </w:r>
      <w:r w:rsidR="00B246DC">
        <w:rPr>
          <w:rFonts w:hint="eastAsia"/>
          <w:bCs/>
          <w:sz w:val="28"/>
          <w:szCs w:val="28"/>
        </w:rPr>
        <w:t>西安迅腾</w:t>
      </w:r>
      <w:r w:rsidRPr="00BA540B">
        <w:rPr>
          <w:rFonts w:hint="eastAsia"/>
          <w:bCs/>
          <w:sz w:val="28"/>
          <w:szCs w:val="28"/>
        </w:rPr>
        <w:t>之间的交易均遵循公平、公正、公开的原则，关联交易定价以市场化原则确定，若交易的产品或劳务没有明确的市场价格，由交易双方根据成本加上合理的利润协商定价，不存在损害公司和全体股东尤其是中小股东利益的行为。该等关联交易对公司的财务状况、经营成果不会产生不利影响，公司的主要业务不会因此类交易对关联方形成依赖。</w:t>
      </w:r>
    </w:p>
    <w:p w14:paraId="781879F9" w14:textId="77777777" w:rsidR="00A27705" w:rsidRPr="00B662B3" w:rsidRDefault="00B944A0" w:rsidP="005D4DBF">
      <w:pPr>
        <w:adjustRightInd w:val="0"/>
        <w:spacing w:line="360" w:lineRule="auto"/>
        <w:ind w:firstLineChars="200" w:firstLine="562"/>
        <w:jc w:val="left"/>
        <w:rPr>
          <w:b/>
          <w:bCs/>
          <w:sz w:val="28"/>
          <w:szCs w:val="28"/>
        </w:rPr>
      </w:pPr>
      <w:r w:rsidRPr="00B662B3">
        <w:rPr>
          <w:b/>
          <w:bCs/>
          <w:sz w:val="28"/>
          <w:szCs w:val="28"/>
        </w:rPr>
        <w:t>五、保荐机构核查意见</w:t>
      </w:r>
      <w:r w:rsidRPr="00B662B3">
        <w:rPr>
          <w:b/>
          <w:bCs/>
          <w:sz w:val="28"/>
          <w:szCs w:val="28"/>
        </w:rPr>
        <w:t xml:space="preserve"> </w:t>
      </w:r>
    </w:p>
    <w:p w14:paraId="4559891C" w14:textId="77777777" w:rsidR="0082373E" w:rsidRPr="0082373E" w:rsidRDefault="0082373E" w:rsidP="0082373E">
      <w:pPr>
        <w:widowControl/>
        <w:overflowPunct w:val="0"/>
        <w:spacing w:beforeLines="50" w:before="156" w:afterLines="50" w:after="156"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82373E">
        <w:rPr>
          <w:rFonts w:ascii="宋体" w:hAnsi="宋体" w:hint="eastAsia"/>
          <w:color w:val="000000"/>
          <w:sz w:val="28"/>
          <w:szCs w:val="28"/>
        </w:rPr>
        <w:t>经核查，华创证券认为：</w:t>
      </w:r>
    </w:p>
    <w:p w14:paraId="6AB91157" w14:textId="77777777" w:rsidR="0082373E" w:rsidRPr="0082373E" w:rsidRDefault="0082373E" w:rsidP="0082373E">
      <w:pPr>
        <w:adjustRightIn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82373E">
        <w:rPr>
          <w:rFonts w:ascii="宋体" w:hAnsi="宋体" w:hint="eastAsia"/>
          <w:color w:val="000000"/>
          <w:sz w:val="28"/>
          <w:szCs w:val="28"/>
        </w:rPr>
        <w:t>公司2021年度新增日常关联交易额度预计事项已经公司董事会、监事会审议通过，关联董事予以回避表决，独立董事已就该议案发表了事前认可意见和同意的独立意见，监事会已发表同意意见，本次事项尚需股东大会审议。截至目前，上述关联交易预计事项的决策程序符合相关法律、法规及《公司章程》的规定。</w:t>
      </w:r>
    </w:p>
    <w:p w14:paraId="58DB22F3" w14:textId="77777777" w:rsidR="0082373E" w:rsidRPr="0082373E" w:rsidRDefault="0082373E" w:rsidP="0082373E">
      <w:pPr>
        <w:adjustRightIn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82373E">
        <w:rPr>
          <w:rFonts w:ascii="宋体" w:hAnsi="宋体" w:hint="eastAsia"/>
          <w:color w:val="000000"/>
          <w:sz w:val="28"/>
          <w:szCs w:val="28"/>
        </w:rPr>
        <w:t>公司上述预计日常关联交易事项为公司开展日常经营活动所需，关联交易遵循公允合理的定价原则，符合公司和全体股东的利益，不存在损害中小股东利益的情况。</w:t>
      </w:r>
    </w:p>
    <w:p w14:paraId="4BE4FFE9" w14:textId="77777777" w:rsidR="0082373E" w:rsidRDefault="0082373E" w:rsidP="0082373E">
      <w:pPr>
        <w:adjustRightIn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82373E">
        <w:rPr>
          <w:rFonts w:ascii="宋体" w:hAnsi="宋体" w:hint="eastAsia"/>
          <w:color w:val="000000"/>
          <w:sz w:val="28"/>
          <w:szCs w:val="28"/>
        </w:rPr>
        <w:t>综上，保荐机构同意上述有方科技2021年度新增日常关联交易额度预计事项。</w:t>
      </w:r>
    </w:p>
    <w:p w14:paraId="7D1E2C84" w14:textId="39F6CB60" w:rsidR="00356C6D" w:rsidRDefault="008C5B37" w:rsidP="0082373E">
      <w:pPr>
        <w:adjustRightInd w:val="0"/>
        <w:spacing w:line="360" w:lineRule="auto"/>
        <w:ind w:firstLineChars="200" w:firstLine="560"/>
        <w:jc w:val="left"/>
        <w:rPr>
          <w:bCs/>
          <w:sz w:val="28"/>
          <w:szCs w:val="28"/>
        </w:rPr>
      </w:pPr>
      <w:r w:rsidRPr="00B662B3">
        <w:rPr>
          <w:bCs/>
          <w:sz w:val="28"/>
          <w:szCs w:val="28"/>
        </w:rPr>
        <w:t>特此公告。</w:t>
      </w:r>
    </w:p>
    <w:p w14:paraId="099EC7C1" w14:textId="77777777" w:rsidR="008C5B37" w:rsidRPr="00B662B3" w:rsidRDefault="00B944A0" w:rsidP="005D4DBF">
      <w:pPr>
        <w:adjustRightInd w:val="0"/>
        <w:spacing w:line="360" w:lineRule="auto"/>
        <w:ind w:firstLineChars="200" w:firstLine="560"/>
        <w:jc w:val="right"/>
        <w:rPr>
          <w:bCs/>
          <w:sz w:val="28"/>
          <w:szCs w:val="28"/>
        </w:rPr>
      </w:pPr>
      <w:r w:rsidRPr="00B662B3">
        <w:rPr>
          <w:bCs/>
          <w:sz w:val="28"/>
          <w:szCs w:val="28"/>
        </w:rPr>
        <w:lastRenderedPageBreak/>
        <w:t>深圳市有方科技</w:t>
      </w:r>
      <w:r w:rsidR="008C5B37" w:rsidRPr="00B662B3">
        <w:rPr>
          <w:bCs/>
          <w:sz w:val="28"/>
          <w:szCs w:val="28"/>
        </w:rPr>
        <w:t>股份有限公司董事会</w:t>
      </w:r>
    </w:p>
    <w:p w14:paraId="2B61FE12" w14:textId="5A33F831" w:rsidR="00BC57A7" w:rsidRPr="00B662B3" w:rsidRDefault="008C5B37" w:rsidP="005D4DBF">
      <w:pPr>
        <w:adjustRightInd w:val="0"/>
        <w:spacing w:line="360" w:lineRule="auto"/>
        <w:ind w:firstLineChars="200" w:firstLine="560"/>
        <w:jc w:val="right"/>
        <w:rPr>
          <w:bCs/>
          <w:sz w:val="28"/>
          <w:szCs w:val="28"/>
        </w:rPr>
      </w:pPr>
      <w:r w:rsidRPr="00B662B3">
        <w:rPr>
          <w:bCs/>
          <w:sz w:val="28"/>
          <w:szCs w:val="28"/>
        </w:rPr>
        <w:t xml:space="preserve">                                      </w:t>
      </w:r>
      <w:r w:rsidR="000C499C" w:rsidRPr="00B662B3">
        <w:rPr>
          <w:bCs/>
          <w:sz w:val="28"/>
          <w:szCs w:val="28"/>
        </w:rPr>
        <w:t>202</w:t>
      </w:r>
      <w:r w:rsidR="00F40EB8">
        <w:rPr>
          <w:rFonts w:hint="eastAsia"/>
          <w:bCs/>
          <w:sz w:val="28"/>
          <w:szCs w:val="28"/>
        </w:rPr>
        <w:t>1</w:t>
      </w:r>
      <w:r w:rsidRPr="00B662B3">
        <w:rPr>
          <w:bCs/>
          <w:sz w:val="28"/>
          <w:szCs w:val="28"/>
        </w:rPr>
        <w:t>年</w:t>
      </w:r>
      <w:r w:rsidR="00092A9B">
        <w:rPr>
          <w:bCs/>
          <w:sz w:val="28"/>
          <w:szCs w:val="28"/>
        </w:rPr>
        <w:t>4</w:t>
      </w:r>
      <w:r w:rsidRPr="00B662B3">
        <w:rPr>
          <w:bCs/>
          <w:sz w:val="28"/>
          <w:szCs w:val="28"/>
        </w:rPr>
        <w:t>月</w:t>
      </w:r>
      <w:r w:rsidR="0031487E">
        <w:rPr>
          <w:rFonts w:hint="eastAsia"/>
          <w:bCs/>
          <w:sz w:val="28"/>
          <w:szCs w:val="28"/>
        </w:rPr>
        <w:t>2</w:t>
      </w:r>
      <w:r w:rsidR="005D4DBF">
        <w:rPr>
          <w:bCs/>
          <w:sz w:val="28"/>
          <w:szCs w:val="28"/>
        </w:rPr>
        <w:t>7</w:t>
      </w:r>
      <w:r w:rsidRPr="00B662B3">
        <w:rPr>
          <w:bCs/>
          <w:sz w:val="28"/>
          <w:szCs w:val="28"/>
        </w:rPr>
        <w:t>日</w:t>
      </w:r>
    </w:p>
    <w:sectPr w:rsidR="00BC57A7" w:rsidRPr="00B662B3" w:rsidSect="00837A1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153EE" w14:textId="77777777" w:rsidR="00D32377" w:rsidRDefault="00D32377">
      <w:r>
        <w:separator/>
      </w:r>
    </w:p>
  </w:endnote>
  <w:endnote w:type="continuationSeparator" w:id="0">
    <w:p w14:paraId="67E045D2" w14:textId="77777777" w:rsidR="00D32377" w:rsidRDefault="00D3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5B96" w14:textId="77777777" w:rsidR="008778A4" w:rsidRDefault="008778A4" w:rsidP="00E362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34F57A4" w14:textId="77777777" w:rsidR="008778A4" w:rsidRDefault="008778A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1C4D2" w14:textId="77777777" w:rsidR="008778A4" w:rsidRPr="006622C3" w:rsidRDefault="008778A4" w:rsidP="006622C3">
    <w:pPr>
      <w:pStyle w:val="a3"/>
      <w:framePr w:wrap="around" w:vAnchor="text" w:hAnchor="margin" w:xAlign="center" w:y="1"/>
      <w:jc w:val="center"/>
      <w:rPr>
        <w:rStyle w:val="a4"/>
        <w:sz w:val="21"/>
        <w:szCs w:val="21"/>
      </w:rPr>
    </w:pPr>
    <w:r w:rsidRPr="006622C3">
      <w:rPr>
        <w:rStyle w:val="a4"/>
        <w:sz w:val="21"/>
        <w:szCs w:val="21"/>
      </w:rPr>
      <w:fldChar w:fldCharType="begin"/>
    </w:r>
    <w:r w:rsidRPr="006622C3">
      <w:rPr>
        <w:rStyle w:val="a4"/>
        <w:sz w:val="21"/>
        <w:szCs w:val="21"/>
      </w:rPr>
      <w:instrText xml:space="preserve">PAGE  </w:instrText>
    </w:r>
    <w:r w:rsidRPr="006622C3">
      <w:rPr>
        <w:rStyle w:val="a4"/>
        <w:sz w:val="21"/>
        <w:szCs w:val="21"/>
      </w:rPr>
      <w:fldChar w:fldCharType="separate"/>
    </w:r>
    <w:r>
      <w:rPr>
        <w:rStyle w:val="a4"/>
        <w:noProof/>
        <w:sz w:val="21"/>
        <w:szCs w:val="21"/>
      </w:rPr>
      <w:t>2</w:t>
    </w:r>
    <w:r w:rsidRPr="006622C3">
      <w:rPr>
        <w:rStyle w:val="a4"/>
        <w:sz w:val="21"/>
        <w:szCs w:val="21"/>
      </w:rPr>
      <w:fldChar w:fldCharType="end"/>
    </w:r>
  </w:p>
  <w:p w14:paraId="74E8745E" w14:textId="77777777" w:rsidR="008778A4" w:rsidRDefault="008778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5E929" w14:textId="77777777" w:rsidR="00D32377" w:rsidRDefault="00D32377">
      <w:r>
        <w:separator/>
      </w:r>
    </w:p>
  </w:footnote>
  <w:footnote w:type="continuationSeparator" w:id="0">
    <w:p w14:paraId="5E699B90" w14:textId="77777777" w:rsidR="00D32377" w:rsidRDefault="00D32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7F30"/>
    <w:multiLevelType w:val="hybridMultilevel"/>
    <w:tmpl w:val="88D031A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8E1389"/>
    <w:multiLevelType w:val="hybridMultilevel"/>
    <w:tmpl w:val="1EB0933E"/>
    <w:lvl w:ilvl="0" w:tplc="36862C6E">
      <w:start w:val="1"/>
      <w:numFmt w:val="decimal"/>
      <w:lvlText w:val="7.2.%1"/>
      <w:lvlJc w:val="left"/>
      <w:pPr>
        <w:ind w:left="420" w:hanging="420"/>
      </w:pPr>
      <w:rPr>
        <w:rFonts w:ascii="仿宋_GB2312" w:eastAsia="仿宋_GB2312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7C206F"/>
    <w:multiLevelType w:val="hybridMultilevel"/>
    <w:tmpl w:val="1EB0933E"/>
    <w:lvl w:ilvl="0" w:tplc="36862C6E">
      <w:start w:val="1"/>
      <w:numFmt w:val="decimal"/>
      <w:lvlText w:val="7.2.%1"/>
      <w:lvlJc w:val="left"/>
      <w:pPr>
        <w:ind w:left="420" w:hanging="420"/>
      </w:pPr>
      <w:rPr>
        <w:rFonts w:ascii="仿宋_GB2312" w:eastAsia="仿宋_GB2312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6F4A20"/>
    <w:multiLevelType w:val="hybridMultilevel"/>
    <w:tmpl w:val="083EB14C"/>
    <w:lvl w:ilvl="0" w:tplc="04090001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703C4"/>
    <w:multiLevelType w:val="hybridMultilevel"/>
    <w:tmpl w:val="5E8A6132"/>
    <w:lvl w:ilvl="0" w:tplc="04090001">
      <w:start w:val="1"/>
      <w:numFmt w:val="bullet"/>
      <w:lvlText w:val="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7D034F"/>
    <w:multiLevelType w:val="hybridMultilevel"/>
    <w:tmpl w:val="5C56AAF8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328857B3"/>
    <w:multiLevelType w:val="hybridMultilevel"/>
    <w:tmpl w:val="6BC4D05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D886E60"/>
    <w:multiLevelType w:val="hybridMultilevel"/>
    <w:tmpl w:val="2EB2D04E"/>
    <w:lvl w:ilvl="0" w:tplc="641CE2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3D15925"/>
    <w:multiLevelType w:val="hybridMultilevel"/>
    <w:tmpl w:val="8E328E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A7"/>
    <w:rsid w:val="000158EE"/>
    <w:rsid w:val="000266D9"/>
    <w:rsid w:val="00063D89"/>
    <w:rsid w:val="00072128"/>
    <w:rsid w:val="00092A9B"/>
    <w:rsid w:val="00092ED9"/>
    <w:rsid w:val="000960B5"/>
    <w:rsid w:val="00097809"/>
    <w:rsid w:val="000B1DA0"/>
    <w:rsid w:val="000C46EC"/>
    <w:rsid w:val="000C499C"/>
    <w:rsid w:val="000D038F"/>
    <w:rsid w:val="000E4ADC"/>
    <w:rsid w:val="0011601D"/>
    <w:rsid w:val="00134488"/>
    <w:rsid w:val="00141BD7"/>
    <w:rsid w:val="00147B34"/>
    <w:rsid w:val="00153996"/>
    <w:rsid w:val="00155017"/>
    <w:rsid w:val="00156FAC"/>
    <w:rsid w:val="00157D96"/>
    <w:rsid w:val="00165481"/>
    <w:rsid w:val="00166442"/>
    <w:rsid w:val="00166F22"/>
    <w:rsid w:val="00183BE6"/>
    <w:rsid w:val="00192E19"/>
    <w:rsid w:val="001A221E"/>
    <w:rsid w:val="001A3AA0"/>
    <w:rsid w:val="001A6A01"/>
    <w:rsid w:val="001B131C"/>
    <w:rsid w:val="001B51EF"/>
    <w:rsid w:val="001C1221"/>
    <w:rsid w:val="001C60D7"/>
    <w:rsid w:val="001D27CE"/>
    <w:rsid w:val="001E576F"/>
    <w:rsid w:val="001E70A3"/>
    <w:rsid w:val="001E7906"/>
    <w:rsid w:val="00202E0E"/>
    <w:rsid w:val="002055B3"/>
    <w:rsid w:val="00212E44"/>
    <w:rsid w:val="00216541"/>
    <w:rsid w:val="00242F44"/>
    <w:rsid w:val="00266EB7"/>
    <w:rsid w:val="00272C8B"/>
    <w:rsid w:val="0027412D"/>
    <w:rsid w:val="00277D20"/>
    <w:rsid w:val="00293EB1"/>
    <w:rsid w:val="00296691"/>
    <w:rsid w:val="002C38A4"/>
    <w:rsid w:val="002C63C1"/>
    <w:rsid w:val="002C69B8"/>
    <w:rsid w:val="002C6D7D"/>
    <w:rsid w:val="002C6E2C"/>
    <w:rsid w:val="002D39C0"/>
    <w:rsid w:val="002D3F86"/>
    <w:rsid w:val="002E2550"/>
    <w:rsid w:val="002E2A92"/>
    <w:rsid w:val="00300064"/>
    <w:rsid w:val="00303510"/>
    <w:rsid w:val="0031129C"/>
    <w:rsid w:val="0031487E"/>
    <w:rsid w:val="00325A69"/>
    <w:rsid w:val="0033456B"/>
    <w:rsid w:val="0035115F"/>
    <w:rsid w:val="00355B0B"/>
    <w:rsid w:val="00356C6D"/>
    <w:rsid w:val="00357CBD"/>
    <w:rsid w:val="00371AFA"/>
    <w:rsid w:val="0038090D"/>
    <w:rsid w:val="00386B5B"/>
    <w:rsid w:val="00386E6E"/>
    <w:rsid w:val="003A0C8D"/>
    <w:rsid w:val="003A41F1"/>
    <w:rsid w:val="003B4BBF"/>
    <w:rsid w:val="003B5BFD"/>
    <w:rsid w:val="003C3148"/>
    <w:rsid w:val="003C4EEE"/>
    <w:rsid w:val="003D3837"/>
    <w:rsid w:val="003D398F"/>
    <w:rsid w:val="003E0E86"/>
    <w:rsid w:val="003E282B"/>
    <w:rsid w:val="003E4436"/>
    <w:rsid w:val="003E6E01"/>
    <w:rsid w:val="00401DE3"/>
    <w:rsid w:val="00412294"/>
    <w:rsid w:val="004242C9"/>
    <w:rsid w:val="004259FE"/>
    <w:rsid w:val="0043317F"/>
    <w:rsid w:val="00434650"/>
    <w:rsid w:val="004423A3"/>
    <w:rsid w:val="004457C5"/>
    <w:rsid w:val="00452F56"/>
    <w:rsid w:val="00470DBF"/>
    <w:rsid w:val="00482F6C"/>
    <w:rsid w:val="004830D7"/>
    <w:rsid w:val="004973AF"/>
    <w:rsid w:val="004A06AE"/>
    <w:rsid w:val="004B3544"/>
    <w:rsid w:val="004B6661"/>
    <w:rsid w:val="004C4896"/>
    <w:rsid w:val="004C51F7"/>
    <w:rsid w:val="004C6F87"/>
    <w:rsid w:val="004D0750"/>
    <w:rsid w:val="004D50C5"/>
    <w:rsid w:val="004D714D"/>
    <w:rsid w:val="004E2CA2"/>
    <w:rsid w:val="00500313"/>
    <w:rsid w:val="00510992"/>
    <w:rsid w:val="00523321"/>
    <w:rsid w:val="0052693B"/>
    <w:rsid w:val="0054140D"/>
    <w:rsid w:val="00564598"/>
    <w:rsid w:val="005735D6"/>
    <w:rsid w:val="0057526A"/>
    <w:rsid w:val="005945C9"/>
    <w:rsid w:val="005949DB"/>
    <w:rsid w:val="005959C9"/>
    <w:rsid w:val="005A6393"/>
    <w:rsid w:val="005B67C4"/>
    <w:rsid w:val="005C496D"/>
    <w:rsid w:val="005D1C13"/>
    <w:rsid w:val="005D4DBF"/>
    <w:rsid w:val="005E5ADC"/>
    <w:rsid w:val="005E7CD5"/>
    <w:rsid w:val="005F7E12"/>
    <w:rsid w:val="00607163"/>
    <w:rsid w:val="00616964"/>
    <w:rsid w:val="006206CF"/>
    <w:rsid w:val="006252B3"/>
    <w:rsid w:val="006275D0"/>
    <w:rsid w:val="00632422"/>
    <w:rsid w:val="00643B44"/>
    <w:rsid w:val="006465E2"/>
    <w:rsid w:val="006622C3"/>
    <w:rsid w:val="006677F1"/>
    <w:rsid w:val="0067100A"/>
    <w:rsid w:val="00671684"/>
    <w:rsid w:val="00680CF9"/>
    <w:rsid w:val="00695801"/>
    <w:rsid w:val="006A4176"/>
    <w:rsid w:val="006A4565"/>
    <w:rsid w:val="006B586D"/>
    <w:rsid w:val="006B58A3"/>
    <w:rsid w:val="006C1B40"/>
    <w:rsid w:val="006C4644"/>
    <w:rsid w:val="006E29A9"/>
    <w:rsid w:val="006E317A"/>
    <w:rsid w:val="006E5CCA"/>
    <w:rsid w:val="006F247F"/>
    <w:rsid w:val="006F4A22"/>
    <w:rsid w:val="006F536C"/>
    <w:rsid w:val="006F6AA6"/>
    <w:rsid w:val="006F6E32"/>
    <w:rsid w:val="00705BC9"/>
    <w:rsid w:val="007060B6"/>
    <w:rsid w:val="00710C31"/>
    <w:rsid w:val="00710E5B"/>
    <w:rsid w:val="0071118D"/>
    <w:rsid w:val="007121C3"/>
    <w:rsid w:val="00735F88"/>
    <w:rsid w:val="00765C65"/>
    <w:rsid w:val="00774B19"/>
    <w:rsid w:val="007A0ACE"/>
    <w:rsid w:val="007A0FEC"/>
    <w:rsid w:val="007A6BE9"/>
    <w:rsid w:val="007A7C10"/>
    <w:rsid w:val="007B2C0E"/>
    <w:rsid w:val="007B396E"/>
    <w:rsid w:val="007D67C3"/>
    <w:rsid w:val="007E512F"/>
    <w:rsid w:val="007E5188"/>
    <w:rsid w:val="007F028B"/>
    <w:rsid w:val="00806A8A"/>
    <w:rsid w:val="00812919"/>
    <w:rsid w:val="0082033C"/>
    <w:rsid w:val="008234C7"/>
    <w:rsid w:val="0082373E"/>
    <w:rsid w:val="00837A17"/>
    <w:rsid w:val="00856D82"/>
    <w:rsid w:val="00864B3A"/>
    <w:rsid w:val="00867B8B"/>
    <w:rsid w:val="008706AD"/>
    <w:rsid w:val="008778A4"/>
    <w:rsid w:val="00880BA1"/>
    <w:rsid w:val="00881218"/>
    <w:rsid w:val="0088443A"/>
    <w:rsid w:val="00885D66"/>
    <w:rsid w:val="00886993"/>
    <w:rsid w:val="00887C24"/>
    <w:rsid w:val="00891184"/>
    <w:rsid w:val="0089549D"/>
    <w:rsid w:val="008954F0"/>
    <w:rsid w:val="008A1B2F"/>
    <w:rsid w:val="008A5627"/>
    <w:rsid w:val="008B40C2"/>
    <w:rsid w:val="008B7746"/>
    <w:rsid w:val="008C1CB0"/>
    <w:rsid w:val="008C5B37"/>
    <w:rsid w:val="008E1DE8"/>
    <w:rsid w:val="008F5C6C"/>
    <w:rsid w:val="008F5E44"/>
    <w:rsid w:val="008F5FFB"/>
    <w:rsid w:val="009068FB"/>
    <w:rsid w:val="00910C80"/>
    <w:rsid w:val="009346E0"/>
    <w:rsid w:val="009348C9"/>
    <w:rsid w:val="00935771"/>
    <w:rsid w:val="0094336B"/>
    <w:rsid w:val="00955551"/>
    <w:rsid w:val="009640E9"/>
    <w:rsid w:val="00967517"/>
    <w:rsid w:val="00971C3E"/>
    <w:rsid w:val="00975735"/>
    <w:rsid w:val="009762FD"/>
    <w:rsid w:val="00980796"/>
    <w:rsid w:val="009860E7"/>
    <w:rsid w:val="009908EB"/>
    <w:rsid w:val="00993A91"/>
    <w:rsid w:val="0099435F"/>
    <w:rsid w:val="00995EC4"/>
    <w:rsid w:val="009B2121"/>
    <w:rsid w:val="009B5CD7"/>
    <w:rsid w:val="009B718E"/>
    <w:rsid w:val="009D149D"/>
    <w:rsid w:val="009D2995"/>
    <w:rsid w:val="009D6E6E"/>
    <w:rsid w:val="009E16AB"/>
    <w:rsid w:val="009E2BA7"/>
    <w:rsid w:val="009F2961"/>
    <w:rsid w:val="009F3EED"/>
    <w:rsid w:val="009F5AC1"/>
    <w:rsid w:val="009F7EE7"/>
    <w:rsid w:val="00A02431"/>
    <w:rsid w:val="00A11B95"/>
    <w:rsid w:val="00A14CBE"/>
    <w:rsid w:val="00A15D27"/>
    <w:rsid w:val="00A165A9"/>
    <w:rsid w:val="00A27705"/>
    <w:rsid w:val="00A303BE"/>
    <w:rsid w:val="00A32065"/>
    <w:rsid w:val="00A43AA4"/>
    <w:rsid w:val="00A446A8"/>
    <w:rsid w:val="00A4518D"/>
    <w:rsid w:val="00A45525"/>
    <w:rsid w:val="00A479E5"/>
    <w:rsid w:val="00A560C0"/>
    <w:rsid w:val="00A569E4"/>
    <w:rsid w:val="00A60082"/>
    <w:rsid w:val="00A74C73"/>
    <w:rsid w:val="00A7779A"/>
    <w:rsid w:val="00A92898"/>
    <w:rsid w:val="00A950A4"/>
    <w:rsid w:val="00A9530D"/>
    <w:rsid w:val="00AA529B"/>
    <w:rsid w:val="00AA5CD5"/>
    <w:rsid w:val="00AB4CE2"/>
    <w:rsid w:val="00AD028F"/>
    <w:rsid w:val="00AE39E9"/>
    <w:rsid w:val="00AE5BCF"/>
    <w:rsid w:val="00AE754C"/>
    <w:rsid w:val="00AF7509"/>
    <w:rsid w:val="00B00227"/>
    <w:rsid w:val="00B17AE7"/>
    <w:rsid w:val="00B246DC"/>
    <w:rsid w:val="00B26E94"/>
    <w:rsid w:val="00B363FB"/>
    <w:rsid w:val="00B4124C"/>
    <w:rsid w:val="00B54700"/>
    <w:rsid w:val="00B6087E"/>
    <w:rsid w:val="00B631F9"/>
    <w:rsid w:val="00B662B3"/>
    <w:rsid w:val="00B76310"/>
    <w:rsid w:val="00B816BF"/>
    <w:rsid w:val="00B82EB3"/>
    <w:rsid w:val="00B856EE"/>
    <w:rsid w:val="00B87238"/>
    <w:rsid w:val="00B944A0"/>
    <w:rsid w:val="00BA540B"/>
    <w:rsid w:val="00BB2331"/>
    <w:rsid w:val="00BC09EB"/>
    <w:rsid w:val="00BC1E7E"/>
    <w:rsid w:val="00BC57A7"/>
    <w:rsid w:val="00BD2341"/>
    <w:rsid w:val="00BD3109"/>
    <w:rsid w:val="00BF61D3"/>
    <w:rsid w:val="00BF798C"/>
    <w:rsid w:val="00C12DF4"/>
    <w:rsid w:val="00C16432"/>
    <w:rsid w:val="00C21833"/>
    <w:rsid w:val="00C238D4"/>
    <w:rsid w:val="00C26B0E"/>
    <w:rsid w:val="00C830C7"/>
    <w:rsid w:val="00C93011"/>
    <w:rsid w:val="00C933B8"/>
    <w:rsid w:val="00C95EC7"/>
    <w:rsid w:val="00CA059C"/>
    <w:rsid w:val="00CB1C23"/>
    <w:rsid w:val="00CB376E"/>
    <w:rsid w:val="00CB5925"/>
    <w:rsid w:val="00CC06C6"/>
    <w:rsid w:val="00CD0A34"/>
    <w:rsid w:val="00CD12CF"/>
    <w:rsid w:val="00CD377F"/>
    <w:rsid w:val="00CE7C3B"/>
    <w:rsid w:val="00CF35C5"/>
    <w:rsid w:val="00CF4825"/>
    <w:rsid w:val="00CF5A1E"/>
    <w:rsid w:val="00D21F58"/>
    <w:rsid w:val="00D25FCF"/>
    <w:rsid w:val="00D27166"/>
    <w:rsid w:val="00D30952"/>
    <w:rsid w:val="00D32377"/>
    <w:rsid w:val="00D453B8"/>
    <w:rsid w:val="00D51CCE"/>
    <w:rsid w:val="00D55923"/>
    <w:rsid w:val="00D71B34"/>
    <w:rsid w:val="00D81DB8"/>
    <w:rsid w:val="00D97CF6"/>
    <w:rsid w:val="00DB647B"/>
    <w:rsid w:val="00DB64D6"/>
    <w:rsid w:val="00DC14D5"/>
    <w:rsid w:val="00DE71D9"/>
    <w:rsid w:val="00DF579D"/>
    <w:rsid w:val="00E249C9"/>
    <w:rsid w:val="00E25338"/>
    <w:rsid w:val="00E25E0E"/>
    <w:rsid w:val="00E3628B"/>
    <w:rsid w:val="00E37672"/>
    <w:rsid w:val="00E400B5"/>
    <w:rsid w:val="00E44DCD"/>
    <w:rsid w:val="00E45A1C"/>
    <w:rsid w:val="00E4676B"/>
    <w:rsid w:val="00E642DA"/>
    <w:rsid w:val="00E70F7E"/>
    <w:rsid w:val="00E848CC"/>
    <w:rsid w:val="00E84DF5"/>
    <w:rsid w:val="00E87289"/>
    <w:rsid w:val="00EB05C1"/>
    <w:rsid w:val="00EB6498"/>
    <w:rsid w:val="00EC08B1"/>
    <w:rsid w:val="00ED283A"/>
    <w:rsid w:val="00EE2677"/>
    <w:rsid w:val="00F00A01"/>
    <w:rsid w:val="00F03503"/>
    <w:rsid w:val="00F16C77"/>
    <w:rsid w:val="00F33905"/>
    <w:rsid w:val="00F40EB8"/>
    <w:rsid w:val="00F50610"/>
    <w:rsid w:val="00F57497"/>
    <w:rsid w:val="00F603DD"/>
    <w:rsid w:val="00F62097"/>
    <w:rsid w:val="00F62631"/>
    <w:rsid w:val="00F70E88"/>
    <w:rsid w:val="00F86BDE"/>
    <w:rsid w:val="00FA215E"/>
    <w:rsid w:val="00FA7E2C"/>
    <w:rsid w:val="00FB1D36"/>
    <w:rsid w:val="00FB2D43"/>
    <w:rsid w:val="00FB4C6D"/>
    <w:rsid w:val="00FB687F"/>
    <w:rsid w:val="00FC313B"/>
    <w:rsid w:val="00FD62E6"/>
    <w:rsid w:val="00FE3FA1"/>
    <w:rsid w:val="00FF0B34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01E14"/>
  <w15:chartTrackingRefBased/>
  <w15:docId w15:val="{517BE5DE-14D5-4572-8C5E-26B5CF5A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C5B3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C57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C57A7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3">
    <w:name w:val="footer"/>
    <w:basedOn w:val="a"/>
    <w:rsid w:val="00BC5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C57A7"/>
  </w:style>
  <w:style w:type="paragraph" w:styleId="a5">
    <w:name w:val="header"/>
    <w:basedOn w:val="a"/>
    <w:link w:val="a6"/>
    <w:rsid w:val="00D30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D30952"/>
    <w:rPr>
      <w:kern w:val="2"/>
      <w:sz w:val="18"/>
      <w:szCs w:val="18"/>
    </w:rPr>
  </w:style>
  <w:style w:type="paragraph" w:styleId="a7">
    <w:name w:val="Balloon Text"/>
    <w:basedOn w:val="a"/>
    <w:link w:val="a8"/>
    <w:rsid w:val="003E0E86"/>
    <w:rPr>
      <w:sz w:val="18"/>
      <w:szCs w:val="18"/>
    </w:rPr>
  </w:style>
  <w:style w:type="character" w:customStyle="1" w:styleId="a8">
    <w:name w:val="批注框文本 字符"/>
    <w:link w:val="a7"/>
    <w:rsid w:val="003E0E86"/>
    <w:rPr>
      <w:kern w:val="2"/>
      <w:sz w:val="18"/>
      <w:szCs w:val="18"/>
    </w:rPr>
  </w:style>
  <w:style w:type="character" w:styleId="a9">
    <w:name w:val="annotation reference"/>
    <w:rsid w:val="007E5188"/>
    <w:rPr>
      <w:sz w:val="21"/>
      <w:szCs w:val="21"/>
    </w:rPr>
  </w:style>
  <w:style w:type="paragraph" w:styleId="aa">
    <w:name w:val="annotation text"/>
    <w:basedOn w:val="a"/>
    <w:link w:val="ab"/>
    <w:rsid w:val="007E5188"/>
    <w:pPr>
      <w:jc w:val="left"/>
    </w:pPr>
  </w:style>
  <w:style w:type="character" w:customStyle="1" w:styleId="ab">
    <w:name w:val="批注文字 字符"/>
    <w:link w:val="aa"/>
    <w:rsid w:val="007E518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E5188"/>
    <w:rPr>
      <w:b/>
      <w:bCs/>
    </w:rPr>
  </w:style>
  <w:style w:type="character" w:customStyle="1" w:styleId="ad">
    <w:name w:val="批注主题 字符"/>
    <w:link w:val="ac"/>
    <w:rsid w:val="007E5188"/>
    <w:rPr>
      <w:b/>
      <w:bCs/>
      <w:kern w:val="2"/>
      <w:sz w:val="21"/>
      <w:szCs w:val="24"/>
    </w:rPr>
  </w:style>
  <w:style w:type="character" w:customStyle="1" w:styleId="fontstyle01">
    <w:name w:val="fontstyle01"/>
    <w:rsid w:val="009E2BA7"/>
    <w:rPr>
      <w:rFonts w:ascii="仿宋" w:eastAsia="仿宋" w:hAnsi="仿宋" w:hint="eastAsia"/>
      <w:b w:val="0"/>
      <w:bCs w:val="0"/>
      <w:i w:val="0"/>
      <w:iCs w:val="0"/>
      <w:color w:val="000000"/>
      <w:sz w:val="24"/>
      <w:szCs w:val="24"/>
    </w:rPr>
  </w:style>
  <w:style w:type="paragraph" w:styleId="ae">
    <w:name w:val="Revision"/>
    <w:hidden/>
    <w:uiPriority w:val="99"/>
    <w:semiHidden/>
    <w:rsid w:val="006A4565"/>
    <w:rPr>
      <w:kern w:val="2"/>
      <w:sz w:val="21"/>
      <w:szCs w:val="24"/>
    </w:rPr>
  </w:style>
  <w:style w:type="paragraph" w:customStyle="1" w:styleId="af">
    <w:name w:val="列出段落"/>
    <w:basedOn w:val="a"/>
    <w:link w:val="Char"/>
    <w:qFormat/>
    <w:rsid w:val="008F5E44"/>
    <w:pPr>
      <w:ind w:firstLineChars="200" w:firstLine="420"/>
    </w:pPr>
    <w:rPr>
      <w:rFonts w:ascii="Calibri" w:hAnsi="Calibri"/>
      <w:szCs w:val="22"/>
      <w:lang w:val="x-none" w:eastAsia="x-none"/>
    </w:rPr>
  </w:style>
  <w:style w:type="character" w:customStyle="1" w:styleId="Char">
    <w:name w:val="列出段落 Char"/>
    <w:link w:val="af"/>
    <w:rsid w:val="008F5E44"/>
    <w:rPr>
      <w:rFonts w:ascii="Calibri" w:hAnsi="Calibri"/>
      <w:kern w:val="2"/>
      <w:sz w:val="21"/>
      <w:szCs w:val="22"/>
      <w:lang w:val="x-none" w:eastAsia="x-none"/>
    </w:rPr>
  </w:style>
  <w:style w:type="paragraph" w:styleId="af0">
    <w:name w:val="Document Map"/>
    <w:basedOn w:val="a"/>
    <w:link w:val="af1"/>
    <w:rsid w:val="000E4ADC"/>
    <w:rPr>
      <w:rFonts w:ascii="宋体"/>
      <w:sz w:val="18"/>
      <w:szCs w:val="18"/>
    </w:rPr>
  </w:style>
  <w:style w:type="character" w:customStyle="1" w:styleId="af1">
    <w:name w:val="文档结构图 字符"/>
    <w:link w:val="af0"/>
    <w:rsid w:val="000E4ADC"/>
    <w:rPr>
      <w:rFonts w:ascii="宋体"/>
      <w:kern w:val="2"/>
      <w:sz w:val="18"/>
      <w:szCs w:val="18"/>
    </w:rPr>
  </w:style>
  <w:style w:type="table" w:styleId="af2">
    <w:name w:val="Table Grid"/>
    <w:basedOn w:val="a1"/>
    <w:rsid w:val="00CE7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0313"/>
    <w:pPr>
      <w:widowControl w:val="0"/>
      <w:autoSpaceDE w:val="0"/>
      <w:autoSpaceDN w:val="0"/>
      <w:adjustRightInd w:val="0"/>
    </w:pPr>
    <w:rPr>
      <w:rFonts w:ascii="宋体" w:hAnsi="等线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04577-90B8-466D-813A-845AAED7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386</Words>
  <Characters>2206</Characters>
  <Application>Microsoft Office Word</Application>
  <DocSecurity>0</DocSecurity>
  <Lines>18</Lines>
  <Paragraphs>5</Paragraphs>
  <ScaleCrop>false</ScaleCrop>
  <Company>sse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第十号 上市公司关联交易公告</dc:title>
  <dc:subject/>
  <dc:creator>sse</dc:creator>
  <cp:keywords/>
  <cp:lastModifiedBy>huang lei</cp:lastModifiedBy>
  <cp:revision>57</cp:revision>
  <dcterms:created xsi:type="dcterms:W3CDTF">2021-03-18T02:51:00Z</dcterms:created>
  <dcterms:modified xsi:type="dcterms:W3CDTF">2021-04-26T09:21:00Z</dcterms:modified>
</cp:coreProperties>
</file>