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84F" w:rsidRDefault="00A9129C">
      <w:pPr>
        <w:adjustRightInd w:val="0"/>
        <w:snapToGrid w:val="0"/>
        <w:spacing w:line="600" w:lineRule="exact"/>
        <w:rPr>
          <w:rFonts w:ascii="宋体" w:hAnsi="宋体"/>
          <w:b/>
          <w:bCs/>
          <w:sz w:val="28"/>
          <w:szCs w:val="28"/>
        </w:rPr>
      </w:pPr>
      <w:bookmarkStart w:id="0" w:name="_GoBack"/>
      <w:bookmarkEnd w:id="0"/>
      <w:r>
        <w:rPr>
          <w:rFonts w:ascii="宋体" w:hAnsi="宋体" w:hint="eastAsia"/>
          <w:b/>
          <w:bCs/>
          <w:sz w:val="28"/>
          <w:szCs w:val="28"/>
        </w:rPr>
        <w:t>证券代码：</w:t>
      </w:r>
      <w:r>
        <w:rPr>
          <w:b/>
          <w:bCs/>
          <w:sz w:val="28"/>
          <w:szCs w:val="28"/>
        </w:rPr>
        <w:t>688159</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 xml:space="preserve"> 证券简称：有方科技   公告编号：</w:t>
      </w:r>
      <w:r w:rsidR="009512C1">
        <w:rPr>
          <w:b/>
          <w:bCs/>
          <w:sz w:val="28"/>
          <w:szCs w:val="28"/>
        </w:rPr>
        <w:t>2025</w:t>
      </w:r>
      <w:r>
        <w:rPr>
          <w:rFonts w:ascii="宋体" w:hAnsi="宋体"/>
          <w:b/>
          <w:bCs/>
          <w:sz w:val="28"/>
          <w:szCs w:val="28"/>
        </w:rPr>
        <w:t>-</w:t>
      </w:r>
      <w:r>
        <w:rPr>
          <w:b/>
          <w:bCs/>
          <w:sz w:val="28"/>
          <w:szCs w:val="28"/>
        </w:rPr>
        <w:t>0</w:t>
      </w:r>
      <w:r w:rsidR="009512C1">
        <w:rPr>
          <w:b/>
          <w:bCs/>
          <w:sz w:val="28"/>
          <w:szCs w:val="28"/>
        </w:rPr>
        <w:t>0</w:t>
      </w:r>
      <w:r w:rsidR="00714B2A">
        <w:rPr>
          <w:b/>
          <w:bCs/>
          <w:sz w:val="28"/>
          <w:szCs w:val="28"/>
        </w:rPr>
        <w:t>9</w:t>
      </w:r>
    </w:p>
    <w:p w:rsidR="005F284F" w:rsidRDefault="005F284F">
      <w:pPr>
        <w:adjustRightInd w:val="0"/>
        <w:snapToGrid w:val="0"/>
        <w:spacing w:line="600" w:lineRule="exact"/>
        <w:rPr>
          <w:rFonts w:ascii="仿宋_GB2312" w:eastAsia="仿宋_GB2312" w:hAnsi="宋体"/>
          <w:sz w:val="30"/>
          <w:szCs w:val="30"/>
        </w:rPr>
      </w:pPr>
    </w:p>
    <w:p w:rsidR="005F284F" w:rsidRDefault="00A9129C">
      <w:pPr>
        <w:adjustRightInd w:val="0"/>
        <w:snapToGrid w:val="0"/>
        <w:spacing w:line="600" w:lineRule="exact"/>
        <w:ind w:firstLine="510"/>
        <w:jc w:val="center"/>
        <w:rPr>
          <w:rFonts w:ascii="黑体" w:eastAsia="黑体" w:hAnsi="黑体"/>
          <w:b/>
          <w:sz w:val="44"/>
          <w:szCs w:val="44"/>
        </w:rPr>
      </w:pPr>
      <w:r>
        <w:rPr>
          <w:rFonts w:ascii="黑体" w:eastAsia="黑体" w:hAnsi="黑体" w:hint="eastAsia"/>
          <w:b/>
          <w:sz w:val="44"/>
          <w:szCs w:val="44"/>
        </w:rPr>
        <w:t>深圳市有方科技股份有限公司关于</w:t>
      </w:r>
    </w:p>
    <w:p w:rsidR="005F284F" w:rsidRDefault="00A9129C">
      <w:pPr>
        <w:adjustRightInd w:val="0"/>
        <w:snapToGrid w:val="0"/>
        <w:spacing w:line="600" w:lineRule="exact"/>
        <w:ind w:firstLine="510"/>
        <w:jc w:val="center"/>
        <w:rPr>
          <w:rFonts w:ascii="黑体" w:eastAsia="黑体" w:hAnsi="黑体"/>
          <w:b/>
          <w:sz w:val="44"/>
          <w:szCs w:val="44"/>
        </w:rPr>
      </w:pPr>
      <w:r>
        <w:rPr>
          <w:rFonts w:ascii="黑体" w:eastAsia="黑体" w:hAnsi="黑体" w:hint="eastAsia"/>
          <w:b/>
          <w:sz w:val="44"/>
          <w:szCs w:val="44"/>
        </w:rPr>
        <w:t>全资子公司为母公司提供担保的自愿性信息披露公告</w:t>
      </w:r>
    </w:p>
    <w:p w:rsidR="005F284F" w:rsidRDefault="005F284F">
      <w:pPr>
        <w:adjustRightInd w:val="0"/>
        <w:snapToGrid w:val="0"/>
        <w:spacing w:line="600" w:lineRule="exact"/>
        <w:ind w:firstLine="510"/>
        <w:jc w:val="center"/>
        <w:rPr>
          <w:rFonts w:ascii="仿宋_GB2312" w:eastAsia="仿宋_GB2312" w:hAnsi="宋体"/>
          <w:bCs/>
          <w:sz w:val="30"/>
          <w:szCs w:val="30"/>
        </w:rPr>
      </w:pPr>
    </w:p>
    <w:p w:rsidR="005F284F" w:rsidRDefault="00A9129C">
      <w:pPr>
        <w:pBdr>
          <w:top w:val="single" w:sz="4" w:space="1" w:color="auto"/>
          <w:left w:val="single" w:sz="4" w:space="4" w:color="auto"/>
          <w:bottom w:val="single" w:sz="4" w:space="12" w:color="auto"/>
          <w:right w:val="single" w:sz="4" w:space="4" w:color="auto"/>
        </w:pBdr>
        <w:adjustRightInd w:val="0"/>
        <w:snapToGrid w:val="0"/>
        <w:spacing w:line="600" w:lineRule="exact"/>
        <w:ind w:firstLineChars="200" w:firstLine="480"/>
        <w:rPr>
          <w:rFonts w:ascii="仿宋_GB2312" w:eastAsia="仿宋_GB2312" w:hAnsi="宋体"/>
          <w:color w:val="000000"/>
          <w:sz w:val="30"/>
          <w:szCs w:val="30"/>
        </w:rPr>
      </w:pPr>
      <w:r>
        <w:rPr>
          <w:rFonts w:ascii="宋体" w:hAnsi="宋体" w:hint="eastAsia"/>
          <w:color w:val="000000"/>
          <w:sz w:val="24"/>
        </w:rPr>
        <w:t>本公司董事会及全体董事保证本公告内容不存在任何虚假记载、误导性陈述或者重大遗漏，并对其内容的真实性、准确性和完整性依法承担法律责任。</w:t>
      </w:r>
    </w:p>
    <w:p w:rsidR="005F284F" w:rsidRDefault="005F284F">
      <w:pPr>
        <w:tabs>
          <w:tab w:val="left" w:pos="540"/>
          <w:tab w:val="left" w:pos="900"/>
        </w:tabs>
        <w:adjustRightInd w:val="0"/>
        <w:snapToGrid w:val="0"/>
        <w:spacing w:line="600" w:lineRule="exact"/>
        <w:ind w:firstLineChars="200" w:firstLine="600"/>
        <w:rPr>
          <w:rFonts w:ascii="仿宋_GB2312" w:eastAsia="仿宋_GB2312" w:hAnsi="宋体"/>
          <w:bCs/>
          <w:sz w:val="30"/>
          <w:szCs w:val="30"/>
        </w:rPr>
      </w:pPr>
    </w:p>
    <w:p w:rsidR="005F284F" w:rsidRDefault="00A9129C">
      <w:pPr>
        <w:tabs>
          <w:tab w:val="left" w:pos="540"/>
          <w:tab w:val="left" w:pos="900"/>
        </w:tabs>
        <w:adjustRightInd w:val="0"/>
        <w:snapToGrid w:val="0"/>
        <w:spacing w:line="600" w:lineRule="exact"/>
        <w:ind w:firstLineChars="200" w:firstLine="602"/>
        <w:rPr>
          <w:rFonts w:ascii="仿宋_GB2312" w:eastAsia="仿宋_GB2312" w:hAnsi="宋体"/>
          <w:b/>
          <w:bCs/>
          <w:sz w:val="30"/>
          <w:szCs w:val="30"/>
        </w:rPr>
      </w:pPr>
      <w:r>
        <w:rPr>
          <w:rFonts w:ascii="仿宋_GB2312" w:eastAsia="仿宋_GB2312" w:hAnsi="宋体" w:hint="eastAsia"/>
          <w:b/>
          <w:bCs/>
          <w:sz w:val="30"/>
          <w:szCs w:val="30"/>
        </w:rPr>
        <w:t>重要内容提示：</w:t>
      </w:r>
    </w:p>
    <w:p w:rsidR="005F284F" w:rsidRDefault="00A9129C">
      <w:pPr>
        <w:numPr>
          <w:ilvl w:val="0"/>
          <w:numId w:val="1"/>
        </w:numPr>
        <w:tabs>
          <w:tab w:val="left" w:pos="900"/>
        </w:tabs>
        <w:adjustRightInd w:val="0"/>
        <w:snapToGrid w:val="0"/>
        <w:spacing w:line="600" w:lineRule="exact"/>
        <w:ind w:left="0" w:firstLineChars="200" w:firstLine="560"/>
        <w:rPr>
          <w:rFonts w:ascii="宋体" w:hAnsi="宋体"/>
          <w:bCs/>
          <w:sz w:val="28"/>
          <w:szCs w:val="28"/>
        </w:rPr>
      </w:pPr>
      <w:r>
        <w:rPr>
          <w:rFonts w:ascii="宋体" w:hAnsi="宋体" w:hint="eastAsia"/>
          <w:bCs/>
          <w:sz w:val="28"/>
          <w:szCs w:val="28"/>
        </w:rPr>
        <w:t>东莞有方通信技术有限公司（以下简称“东莞有方”）为深圳市有方科技股份有限公司（以下简称“公司”）之全资子公司，经东莞有方内部审议通过，同意为公司在</w:t>
      </w:r>
      <w:r w:rsidR="009512C1">
        <w:rPr>
          <w:rFonts w:ascii="宋体" w:hAnsi="宋体" w:hint="eastAsia"/>
          <w:bCs/>
          <w:sz w:val="28"/>
          <w:szCs w:val="28"/>
        </w:rPr>
        <w:t>兴业</w:t>
      </w:r>
      <w:r w:rsidR="00061000">
        <w:rPr>
          <w:rFonts w:ascii="宋体" w:hAnsi="宋体" w:hint="eastAsia"/>
          <w:bCs/>
          <w:sz w:val="28"/>
          <w:szCs w:val="28"/>
        </w:rPr>
        <w:t>银行股份有限公司深圳分行</w:t>
      </w:r>
      <w:r>
        <w:rPr>
          <w:rFonts w:ascii="宋体" w:hAnsi="宋体" w:hint="eastAsia"/>
          <w:bCs/>
          <w:sz w:val="28"/>
          <w:szCs w:val="28"/>
        </w:rPr>
        <w:t>申请的人民币</w:t>
      </w:r>
      <w:r w:rsidR="009512C1">
        <w:rPr>
          <w:bCs/>
          <w:sz w:val="28"/>
          <w:szCs w:val="28"/>
        </w:rPr>
        <w:t>1</w:t>
      </w:r>
      <w:r>
        <w:rPr>
          <w:rFonts w:ascii="宋体" w:hAnsi="宋体"/>
          <w:bCs/>
          <w:sz w:val="28"/>
          <w:szCs w:val="28"/>
        </w:rPr>
        <w:t>亿</w:t>
      </w:r>
      <w:r>
        <w:rPr>
          <w:rFonts w:ascii="宋体" w:hAnsi="宋体" w:hint="eastAsia"/>
          <w:bCs/>
          <w:sz w:val="28"/>
          <w:szCs w:val="28"/>
        </w:rPr>
        <w:t>元综合授信提供连带责任保证。</w:t>
      </w:r>
    </w:p>
    <w:p w:rsidR="005F284F" w:rsidRDefault="00A9129C">
      <w:pPr>
        <w:numPr>
          <w:ilvl w:val="0"/>
          <w:numId w:val="1"/>
        </w:numPr>
        <w:tabs>
          <w:tab w:val="left" w:pos="900"/>
        </w:tabs>
        <w:adjustRightInd w:val="0"/>
        <w:snapToGrid w:val="0"/>
        <w:spacing w:line="600" w:lineRule="exact"/>
        <w:ind w:left="0" w:firstLineChars="200" w:firstLine="560"/>
        <w:rPr>
          <w:rFonts w:ascii="宋体" w:hAnsi="宋体"/>
          <w:bCs/>
          <w:sz w:val="28"/>
          <w:szCs w:val="28"/>
        </w:rPr>
      </w:pPr>
      <w:r>
        <w:rPr>
          <w:rFonts w:ascii="宋体" w:hAnsi="宋体" w:hint="eastAsia"/>
          <w:bCs/>
          <w:sz w:val="28"/>
          <w:szCs w:val="28"/>
        </w:rPr>
        <w:t>根据《上海证券交易所科创板股票上市规则》</w:t>
      </w:r>
      <w:r w:rsidR="005F6119">
        <w:rPr>
          <w:rFonts w:ascii="宋体" w:hAnsi="宋体" w:hint="eastAsia"/>
          <w:bCs/>
          <w:sz w:val="28"/>
          <w:szCs w:val="28"/>
        </w:rPr>
        <w:t>、</w:t>
      </w:r>
      <w:r>
        <w:rPr>
          <w:rFonts w:ascii="宋体" w:hAnsi="宋体" w:hint="eastAsia"/>
          <w:bCs/>
          <w:sz w:val="28"/>
          <w:szCs w:val="28"/>
        </w:rPr>
        <w:t>《公司章程》等相关规定，本次担保事项</w:t>
      </w:r>
      <w:r>
        <w:rPr>
          <w:rFonts w:ascii="宋体" w:hAnsi="宋体"/>
          <w:bCs/>
          <w:sz w:val="28"/>
          <w:szCs w:val="28"/>
        </w:rPr>
        <w:t>属于子公司为公司合并报表范围内的法人提供担保，已履行东莞有方内部股东决议审议程序，无需提交公司董事会及股东大会。</w:t>
      </w:r>
    </w:p>
    <w:p w:rsidR="005F284F" w:rsidRDefault="00A9129C">
      <w:pPr>
        <w:numPr>
          <w:ilvl w:val="0"/>
          <w:numId w:val="1"/>
        </w:numPr>
        <w:tabs>
          <w:tab w:val="left" w:pos="900"/>
        </w:tabs>
        <w:adjustRightInd w:val="0"/>
        <w:snapToGrid w:val="0"/>
        <w:spacing w:line="600" w:lineRule="exact"/>
        <w:ind w:left="0" w:firstLineChars="200" w:firstLine="560"/>
        <w:rPr>
          <w:rFonts w:ascii="宋体" w:hAnsi="宋体"/>
          <w:bCs/>
          <w:sz w:val="28"/>
          <w:szCs w:val="28"/>
        </w:rPr>
      </w:pPr>
      <w:r>
        <w:rPr>
          <w:rFonts w:ascii="宋体" w:hAnsi="宋体"/>
          <w:bCs/>
          <w:sz w:val="28"/>
          <w:szCs w:val="28"/>
        </w:rPr>
        <w:t>本次担保是否有反担保：无</w:t>
      </w:r>
    </w:p>
    <w:p w:rsidR="005F284F" w:rsidRDefault="00A9129C">
      <w:pPr>
        <w:widowControl/>
        <w:spacing w:line="60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一、担保情况概述</w:t>
      </w:r>
    </w:p>
    <w:p w:rsidR="005F284F" w:rsidRDefault="00A9129C">
      <w:pPr>
        <w:widowControl/>
        <w:adjustRightInd w:val="0"/>
        <w:snapToGrid w:val="0"/>
        <w:spacing w:line="600" w:lineRule="exact"/>
        <w:ind w:firstLineChars="200" w:firstLine="560"/>
        <w:rPr>
          <w:rFonts w:ascii="宋体" w:hAnsi="宋体"/>
          <w:sz w:val="28"/>
          <w:szCs w:val="28"/>
        </w:rPr>
      </w:pPr>
      <w:r>
        <w:rPr>
          <w:rFonts w:ascii="宋体" w:hAnsi="宋体" w:hint="eastAsia"/>
          <w:sz w:val="28"/>
          <w:szCs w:val="28"/>
        </w:rPr>
        <w:t>（一）担保基本情况</w:t>
      </w:r>
    </w:p>
    <w:p w:rsidR="005F284F" w:rsidRDefault="00A9129C" w:rsidP="00A14C34">
      <w:pPr>
        <w:tabs>
          <w:tab w:val="left" w:pos="1080"/>
          <w:tab w:val="left" w:pos="1260"/>
          <w:tab w:val="left" w:pos="1321"/>
        </w:tabs>
        <w:spacing w:line="30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公司根据业务发展规划，并结合公司的融资需求，预计向</w:t>
      </w:r>
      <w:r w:rsidR="009512C1">
        <w:rPr>
          <w:rFonts w:ascii="宋体" w:hAnsi="宋体" w:hint="eastAsia"/>
          <w:bCs/>
          <w:sz w:val="28"/>
          <w:szCs w:val="28"/>
        </w:rPr>
        <w:t>兴业</w:t>
      </w:r>
      <w:r w:rsidR="00061000">
        <w:rPr>
          <w:rFonts w:ascii="宋体" w:hAnsi="宋体" w:hint="eastAsia"/>
          <w:bCs/>
          <w:sz w:val="28"/>
          <w:szCs w:val="28"/>
        </w:rPr>
        <w:t>银</w:t>
      </w:r>
      <w:r w:rsidR="00061000">
        <w:rPr>
          <w:rFonts w:ascii="宋体" w:hAnsi="宋体" w:hint="eastAsia"/>
          <w:bCs/>
          <w:sz w:val="28"/>
          <w:szCs w:val="28"/>
        </w:rPr>
        <w:lastRenderedPageBreak/>
        <w:t>行股份有限公司深圳分行</w:t>
      </w:r>
      <w:r>
        <w:rPr>
          <w:rFonts w:ascii="宋体" w:hAnsi="宋体" w:cs="宋体" w:hint="eastAsia"/>
          <w:color w:val="000000"/>
          <w:kern w:val="0"/>
          <w:sz w:val="28"/>
          <w:szCs w:val="28"/>
        </w:rPr>
        <w:t>申请金额为人民币</w:t>
      </w:r>
      <w:r w:rsidR="009512C1">
        <w:rPr>
          <w:rFonts w:cs="宋体"/>
          <w:color w:val="000000"/>
          <w:kern w:val="0"/>
          <w:sz w:val="28"/>
          <w:szCs w:val="28"/>
        </w:rPr>
        <w:t>1</w:t>
      </w:r>
      <w:r>
        <w:rPr>
          <w:rFonts w:ascii="宋体" w:hAnsi="宋体" w:cs="宋体" w:hint="eastAsia"/>
          <w:color w:val="000000"/>
          <w:kern w:val="0"/>
          <w:sz w:val="28"/>
          <w:szCs w:val="28"/>
        </w:rPr>
        <w:t>亿元的综合授信额度，</w:t>
      </w:r>
      <w:r w:rsidRPr="005D1F04">
        <w:rPr>
          <w:rFonts w:ascii="宋体" w:hAnsi="宋体" w:cs="宋体" w:hint="eastAsia"/>
          <w:color w:val="000000"/>
          <w:kern w:val="0"/>
          <w:sz w:val="28"/>
          <w:szCs w:val="28"/>
        </w:rPr>
        <w:t>由公司全资子公司东莞有方为公司提供连带责任保证，担保方式为连带责任</w:t>
      </w:r>
      <w:r w:rsidR="009512C1">
        <w:rPr>
          <w:rFonts w:ascii="宋体" w:hAnsi="宋体" w:cs="宋体" w:hint="eastAsia"/>
          <w:color w:val="000000"/>
          <w:kern w:val="0"/>
          <w:sz w:val="28"/>
          <w:szCs w:val="28"/>
        </w:rPr>
        <w:t>保证</w:t>
      </w:r>
      <w:r w:rsidRPr="005D1F04">
        <w:rPr>
          <w:rFonts w:ascii="宋体" w:hAnsi="宋体" w:cs="宋体" w:hint="eastAsia"/>
          <w:color w:val="000000"/>
          <w:kern w:val="0"/>
          <w:sz w:val="28"/>
          <w:szCs w:val="28"/>
        </w:rPr>
        <w:t>，</w:t>
      </w:r>
      <w:r w:rsidR="00A14C34" w:rsidRPr="005D1F04">
        <w:rPr>
          <w:rFonts w:ascii="宋体" w:hAnsi="宋体" w:cs="宋体" w:hint="eastAsia"/>
          <w:color w:val="000000"/>
          <w:kern w:val="0"/>
          <w:sz w:val="28"/>
          <w:szCs w:val="28"/>
        </w:rPr>
        <w:t>保证期间</w:t>
      </w:r>
      <w:r w:rsidRPr="005D1F04">
        <w:rPr>
          <w:rFonts w:ascii="宋体" w:hAnsi="宋体" w:cs="宋体" w:hint="eastAsia"/>
          <w:color w:val="000000"/>
          <w:kern w:val="0"/>
          <w:sz w:val="28"/>
          <w:szCs w:val="28"/>
        </w:rPr>
        <w:t>为</w:t>
      </w:r>
      <w:r w:rsidR="00EE4E55" w:rsidRPr="00EE4E55">
        <w:rPr>
          <w:rFonts w:ascii="宋体" w:hAnsi="宋体" w:cs="宋体" w:hint="eastAsia"/>
          <w:color w:val="000000"/>
          <w:kern w:val="0"/>
          <w:sz w:val="28"/>
          <w:szCs w:val="28"/>
        </w:rPr>
        <w:t>融资项下债务履行期限届满之日起三年</w:t>
      </w:r>
      <w:r w:rsidR="005F6119">
        <w:rPr>
          <w:rFonts w:ascii="宋体" w:hAnsi="宋体" w:cs="宋体" w:hint="eastAsia"/>
          <w:color w:val="000000"/>
          <w:kern w:val="0"/>
          <w:sz w:val="28"/>
          <w:szCs w:val="28"/>
        </w:rPr>
        <w:t>，</w:t>
      </w:r>
      <w:r w:rsidRPr="005D1F04">
        <w:rPr>
          <w:rFonts w:ascii="宋体" w:hAnsi="宋体" w:cs="宋体" w:hint="eastAsia"/>
          <w:color w:val="000000"/>
          <w:kern w:val="0"/>
          <w:sz w:val="28"/>
          <w:szCs w:val="28"/>
        </w:rPr>
        <w:t>实际担保金额以银行批复为准。</w:t>
      </w:r>
    </w:p>
    <w:p w:rsidR="005F284F" w:rsidRDefault="00A9129C">
      <w:pPr>
        <w:widowControl/>
        <w:adjustRightInd w:val="0"/>
        <w:snapToGrid w:val="0"/>
        <w:spacing w:line="600" w:lineRule="exact"/>
        <w:ind w:firstLineChars="200" w:firstLine="560"/>
        <w:rPr>
          <w:rFonts w:ascii="宋体" w:hAnsi="宋体"/>
          <w:sz w:val="28"/>
          <w:szCs w:val="28"/>
        </w:rPr>
      </w:pPr>
      <w:r>
        <w:rPr>
          <w:rFonts w:ascii="宋体" w:hAnsi="宋体" w:hint="eastAsia"/>
          <w:sz w:val="28"/>
          <w:szCs w:val="28"/>
        </w:rPr>
        <w:t>（二）本次担保事项的内部决策程序及尚需履行的程序</w:t>
      </w:r>
    </w:p>
    <w:p w:rsidR="005F284F" w:rsidRDefault="00A9129C">
      <w:pPr>
        <w:widowControl/>
        <w:spacing w:line="60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根据《上海证券交易所科创板股票上市规则》</w:t>
      </w:r>
      <w:r w:rsidR="005F6119">
        <w:rPr>
          <w:rFonts w:ascii="宋体" w:hAnsi="宋体" w:cs="宋体" w:hint="eastAsia"/>
          <w:color w:val="000000"/>
          <w:kern w:val="0"/>
          <w:sz w:val="28"/>
          <w:szCs w:val="28"/>
        </w:rPr>
        <w:t>、</w:t>
      </w:r>
      <w:r>
        <w:rPr>
          <w:rFonts w:ascii="宋体" w:hAnsi="宋体" w:cs="宋体" w:hint="eastAsia"/>
          <w:color w:val="000000"/>
          <w:kern w:val="0"/>
          <w:sz w:val="28"/>
          <w:szCs w:val="28"/>
        </w:rPr>
        <w:t>《公司章程》等相关规定，本次担保事项属于子公司为公司合并报表范围内的法人提供担保，</w:t>
      </w:r>
      <w:r>
        <w:rPr>
          <w:rFonts w:ascii="宋体" w:hAnsi="宋体" w:hint="eastAsia"/>
          <w:bCs/>
          <w:sz w:val="28"/>
          <w:szCs w:val="28"/>
          <w:lang w:bidi="ar"/>
        </w:rPr>
        <w:t>已履行东莞有方内部股东决议审议程序</w:t>
      </w:r>
      <w:r>
        <w:rPr>
          <w:rFonts w:ascii="宋体" w:hAnsi="宋体" w:cs="宋体" w:hint="eastAsia"/>
          <w:color w:val="000000"/>
          <w:kern w:val="0"/>
          <w:sz w:val="28"/>
          <w:szCs w:val="28"/>
        </w:rPr>
        <w:t>，无需提交公司董事会及股东大会。</w:t>
      </w:r>
    </w:p>
    <w:p w:rsidR="005F284F" w:rsidRDefault="00A9129C">
      <w:pPr>
        <w:widowControl/>
        <w:adjustRightInd w:val="0"/>
        <w:snapToGrid w:val="0"/>
        <w:spacing w:line="600" w:lineRule="exact"/>
        <w:ind w:firstLineChars="200" w:firstLine="562"/>
        <w:rPr>
          <w:rFonts w:ascii="宋体" w:hAnsi="宋体"/>
          <w:b/>
          <w:sz w:val="28"/>
          <w:szCs w:val="28"/>
        </w:rPr>
      </w:pPr>
      <w:r>
        <w:rPr>
          <w:rFonts w:ascii="宋体" w:hAnsi="宋体" w:hint="eastAsia"/>
          <w:b/>
          <w:sz w:val="28"/>
          <w:szCs w:val="28"/>
        </w:rPr>
        <w:t>二、被担保人基本情况</w:t>
      </w:r>
    </w:p>
    <w:p w:rsidR="005F284F" w:rsidRDefault="00A9129C">
      <w:pPr>
        <w:widowControl/>
        <w:adjustRightInd w:val="0"/>
        <w:snapToGrid w:val="0"/>
        <w:spacing w:line="600" w:lineRule="exact"/>
        <w:ind w:firstLineChars="200" w:firstLine="560"/>
        <w:rPr>
          <w:rFonts w:ascii="宋体" w:hAnsi="宋体"/>
          <w:sz w:val="28"/>
          <w:szCs w:val="28"/>
        </w:rPr>
      </w:pPr>
      <w:r>
        <w:rPr>
          <w:rFonts w:ascii="宋体" w:hAnsi="宋体" w:hint="eastAsia"/>
          <w:sz w:val="28"/>
          <w:szCs w:val="28"/>
        </w:rPr>
        <w:t>（一）被担保人的基本情况</w:t>
      </w:r>
    </w:p>
    <w:tbl>
      <w:tblPr>
        <w:tblW w:w="827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68"/>
        <w:gridCol w:w="2102"/>
        <w:gridCol w:w="2102"/>
        <w:gridCol w:w="2104"/>
      </w:tblGrid>
      <w:tr w:rsidR="005F284F">
        <w:trPr>
          <w:trHeight w:val="340"/>
          <w:jc w:val="center"/>
        </w:trPr>
        <w:tc>
          <w:tcPr>
            <w:tcW w:w="1968" w:type="dxa"/>
            <w:vAlign w:val="center"/>
          </w:tcPr>
          <w:p w:rsidR="005F284F" w:rsidRDefault="00A9129C">
            <w:pPr>
              <w:jc w:val="center"/>
              <w:rPr>
                <w:bCs/>
                <w:color w:val="000000"/>
                <w:sz w:val="24"/>
                <w:shd w:val="clear" w:color="auto" w:fill="FFFFFF"/>
              </w:rPr>
            </w:pPr>
            <w:r>
              <w:rPr>
                <w:bCs/>
                <w:color w:val="000000"/>
                <w:sz w:val="24"/>
                <w:shd w:val="clear" w:color="auto" w:fill="FFFFFF"/>
              </w:rPr>
              <w:t>公司名称</w:t>
            </w:r>
          </w:p>
        </w:tc>
        <w:tc>
          <w:tcPr>
            <w:tcW w:w="6308" w:type="dxa"/>
            <w:gridSpan w:val="3"/>
            <w:vAlign w:val="center"/>
          </w:tcPr>
          <w:p w:rsidR="005F284F" w:rsidRDefault="00A9129C">
            <w:pPr>
              <w:rPr>
                <w:bCs/>
                <w:color w:val="000000"/>
                <w:sz w:val="24"/>
                <w:shd w:val="clear" w:color="auto" w:fill="FFFFFF"/>
              </w:rPr>
            </w:pPr>
            <w:r>
              <w:rPr>
                <w:rFonts w:hint="eastAsia"/>
                <w:bCs/>
                <w:color w:val="000000"/>
                <w:sz w:val="24"/>
                <w:shd w:val="clear" w:color="auto" w:fill="FFFFFF"/>
              </w:rPr>
              <w:t>深圳市有方科技股份有限公司</w:t>
            </w:r>
          </w:p>
        </w:tc>
      </w:tr>
      <w:tr w:rsidR="005F284F">
        <w:trPr>
          <w:trHeight w:val="340"/>
          <w:jc w:val="center"/>
        </w:trPr>
        <w:tc>
          <w:tcPr>
            <w:tcW w:w="1968" w:type="dxa"/>
            <w:vAlign w:val="center"/>
          </w:tcPr>
          <w:p w:rsidR="005F284F" w:rsidRDefault="00A9129C">
            <w:pPr>
              <w:jc w:val="center"/>
              <w:rPr>
                <w:bCs/>
                <w:color w:val="000000"/>
                <w:sz w:val="24"/>
                <w:highlight w:val="yellow"/>
                <w:shd w:val="clear" w:color="auto" w:fill="FFFFFF"/>
              </w:rPr>
            </w:pPr>
            <w:r>
              <w:rPr>
                <w:rFonts w:hint="eastAsia"/>
                <w:bCs/>
                <w:color w:val="000000"/>
                <w:sz w:val="24"/>
                <w:shd w:val="clear" w:color="auto" w:fill="FFFFFF"/>
              </w:rPr>
              <w:t>统一社会信用代码</w:t>
            </w:r>
          </w:p>
        </w:tc>
        <w:tc>
          <w:tcPr>
            <w:tcW w:w="6308" w:type="dxa"/>
            <w:gridSpan w:val="3"/>
            <w:vAlign w:val="center"/>
          </w:tcPr>
          <w:p w:rsidR="005F284F" w:rsidRDefault="00A9129C">
            <w:pPr>
              <w:rPr>
                <w:bCs/>
                <w:color w:val="000000"/>
                <w:sz w:val="24"/>
                <w:highlight w:val="yellow"/>
                <w:shd w:val="clear" w:color="auto" w:fill="FFFFFF"/>
              </w:rPr>
            </w:pPr>
            <w:r>
              <w:rPr>
                <w:bCs/>
                <w:color w:val="000000"/>
                <w:sz w:val="24"/>
                <w:shd w:val="clear" w:color="auto" w:fill="FFFFFF"/>
              </w:rPr>
              <w:t>91440300793892618P</w:t>
            </w:r>
          </w:p>
        </w:tc>
      </w:tr>
      <w:tr w:rsidR="005F284F">
        <w:trPr>
          <w:trHeight w:val="340"/>
          <w:jc w:val="center"/>
        </w:trPr>
        <w:tc>
          <w:tcPr>
            <w:tcW w:w="1968" w:type="dxa"/>
            <w:vAlign w:val="center"/>
          </w:tcPr>
          <w:p w:rsidR="005F284F" w:rsidRDefault="00A9129C">
            <w:pPr>
              <w:jc w:val="center"/>
              <w:rPr>
                <w:bCs/>
                <w:color w:val="000000"/>
                <w:sz w:val="24"/>
                <w:highlight w:val="yellow"/>
                <w:shd w:val="clear" w:color="auto" w:fill="FFFFFF"/>
              </w:rPr>
            </w:pPr>
            <w:r>
              <w:rPr>
                <w:rFonts w:hint="eastAsia"/>
                <w:bCs/>
                <w:color w:val="000000"/>
                <w:sz w:val="24"/>
                <w:shd w:val="clear" w:color="auto" w:fill="FFFFFF"/>
              </w:rPr>
              <w:t>类型</w:t>
            </w:r>
          </w:p>
        </w:tc>
        <w:tc>
          <w:tcPr>
            <w:tcW w:w="6308" w:type="dxa"/>
            <w:gridSpan w:val="3"/>
            <w:vAlign w:val="center"/>
          </w:tcPr>
          <w:p w:rsidR="005F284F" w:rsidRDefault="00A9129C">
            <w:pPr>
              <w:rPr>
                <w:bCs/>
                <w:color w:val="000000"/>
                <w:sz w:val="24"/>
                <w:highlight w:val="yellow"/>
                <w:shd w:val="clear" w:color="auto" w:fill="FFFFFF"/>
              </w:rPr>
            </w:pPr>
            <w:r>
              <w:rPr>
                <w:rFonts w:hint="eastAsia"/>
                <w:bCs/>
                <w:color w:val="000000"/>
                <w:sz w:val="24"/>
                <w:shd w:val="clear" w:color="auto" w:fill="FFFFFF"/>
              </w:rPr>
              <w:t>股份有限公司（上市）</w:t>
            </w:r>
          </w:p>
        </w:tc>
      </w:tr>
      <w:tr w:rsidR="005F284F">
        <w:trPr>
          <w:trHeight w:val="340"/>
          <w:jc w:val="center"/>
        </w:trPr>
        <w:tc>
          <w:tcPr>
            <w:tcW w:w="1968" w:type="dxa"/>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注册地址</w:t>
            </w:r>
          </w:p>
        </w:tc>
        <w:tc>
          <w:tcPr>
            <w:tcW w:w="6308" w:type="dxa"/>
            <w:gridSpan w:val="3"/>
            <w:vAlign w:val="center"/>
          </w:tcPr>
          <w:p w:rsidR="005F284F" w:rsidRDefault="00A9129C">
            <w:pPr>
              <w:rPr>
                <w:bCs/>
                <w:color w:val="000000"/>
                <w:sz w:val="24"/>
                <w:shd w:val="clear" w:color="auto" w:fill="FFFFFF"/>
              </w:rPr>
            </w:pPr>
            <w:r>
              <w:rPr>
                <w:rFonts w:hint="eastAsia"/>
                <w:bCs/>
                <w:color w:val="000000"/>
                <w:sz w:val="24"/>
                <w:shd w:val="clear" w:color="auto" w:fill="FFFFFF"/>
              </w:rPr>
              <w:t>深圳市龙华区民治街道北站社区汇德大厦</w:t>
            </w:r>
            <w:r>
              <w:rPr>
                <w:rFonts w:hint="eastAsia"/>
                <w:bCs/>
                <w:color w:val="000000"/>
                <w:sz w:val="24"/>
                <w:shd w:val="clear" w:color="auto" w:fill="FFFFFF"/>
              </w:rPr>
              <w:t>1</w:t>
            </w:r>
            <w:r>
              <w:rPr>
                <w:rFonts w:hint="eastAsia"/>
                <w:bCs/>
                <w:color w:val="000000"/>
                <w:sz w:val="24"/>
                <w:shd w:val="clear" w:color="auto" w:fill="FFFFFF"/>
              </w:rPr>
              <w:t>号楼</w:t>
            </w:r>
            <w:r>
              <w:rPr>
                <w:rFonts w:hint="eastAsia"/>
                <w:bCs/>
                <w:color w:val="000000"/>
                <w:sz w:val="24"/>
                <w:shd w:val="clear" w:color="auto" w:fill="FFFFFF"/>
              </w:rPr>
              <w:t>4401</w:t>
            </w:r>
            <w:r>
              <w:rPr>
                <w:rFonts w:hint="eastAsia"/>
                <w:bCs/>
                <w:color w:val="000000"/>
                <w:sz w:val="24"/>
                <w:shd w:val="clear" w:color="auto" w:fill="FFFFFF"/>
              </w:rPr>
              <w:t>室</w:t>
            </w:r>
          </w:p>
        </w:tc>
      </w:tr>
      <w:tr w:rsidR="005F284F">
        <w:trPr>
          <w:trHeight w:val="340"/>
          <w:jc w:val="center"/>
        </w:trPr>
        <w:tc>
          <w:tcPr>
            <w:tcW w:w="1968" w:type="dxa"/>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法定代表人</w:t>
            </w:r>
          </w:p>
        </w:tc>
        <w:tc>
          <w:tcPr>
            <w:tcW w:w="6308" w:type="dxa"/>
            <w:gridSpan w:val="3"/>
            <w:vAlign w:val="center"/>
          </w:tcPr>
          <w:p w:rsidR="005F284F" w:rsidRDefault="00A9129C">
            <w:pPr>
              <w:rPr>
                <w:bCs/>
                <w:color w:val="000000"/>
                <w:sz w:val="24"/>
                <w:shd w:val="clear" w:color="auto" w:fill="FFFFFF"/>
              </w:rPr>
            </w:pPr>
            <w:r>
              <w:rPr>
                <w:rFonts w:hint="eastAsia"/>
                <w:bCs/>
                <w:color w:val="000000"/>
                <w:sz w:val="24"/>
                <w:shd w:val="clear" w:color="auto" w:fill="FFFFFF"/>
              </w:rPr>
              <w:t>王慷</w:t>
            </w:r>
          </w:p>
        </w:tc>
      </w:tr>
      <w:tr w:rsidR="005F284F">
        <w:trPr>
          <w:trHeight w:val="340"/>
          <w:jc w:val="center"/>
        </w:trPr>
        <w:tc>
          <w:tcPr>
            <w:tcW w:w="1968" w:type="dxa"/>
            <w:vAlign w:val="center"/>
          </w:tcPr>
          <w:p w:rsidR="005F284F" w:rsidRDefault="00A9129C">
            <w:pPr>
              <w:jc w:val="center"/>
              <w:rPr>
                <w:bCs/>
                <w:color w:val="000000"/>
                <w:sz w:val="24"/>
                <w:highlight w:val="yellow"/>
                <w:shd w:val="clear" w:color="auto" w:fill="FFFFFF"/>
              </w:rPr>
            </w:pPr>
            <w:r>
              <w:rPr>
                <w:rFonts w:hint="eastAsia"/>
                <w:bCs/>
                <w:color w:val="000000"/>
                <w:sz w:val="24"/>
                <w:shd w:val="clear" w:color="auto" w:fill="FFFFFF"/>
              </w:rPr>
              <w:t>注册资本</w:t>
            </w:r>
          </w:p>
        </w:tc>
        <w:tc>
          <w:tcPr>
            <w:tcW w:w="6308" w:type="dxa"/>
            <w:gridSpan w:val="3"/>
            <w:vAlign w:val="center"/>
          </w:tcPr>
          <w:p w:rsidR="005F284F" w:rsidRDefault="00A9129C" w:rsidP="00145D2F">
            <w:pPr>
              <w:rPr>
                <w:bCs/>
                <w:color w:val="000000"/>
                <w:sz w:val="24"/>
                <w:highlight w:val="yellow"/>
                <w:shd w:val="clear" w:color="auto" w:fill="FFFFFF"/>
              </w:rPr>
            </w:pPr>
            <w:r>
              <w:rPr>
                <w:rFonts w:hint="eastAsia"/>
                <w:bCs/>
                <w:color w:val="000000"/>
                <w:sz w:val="24"/>
                <w:shd w:val="clear" w:color="auto" w:fill="FFFFFF"/>
              </w:rPr>
              <w:t>9,</w:t>
            </w:r>
            <w:r w:rsidR="00145D2F">
              <w:rPr>
                <w:bCs/>
                <w:color w:val="000000"/>
                <w:sz w:val="24"/>
                <w:shd w:val="clear" w:color="auto" w:fill="FFFFFF"/>
              </w:rPr>
              <w:t>199</w:t>
            </w:r>
            <w:r>
              <w:rPr>
                <w:rFonts w:hint="eastAsia"/>
                <w:bCs/>
                <w:color w:val="000000"/>
                <w:sz w:val="24"/>
                <w:shd w:val="clear" w:color="auto" w:fill="FFFFFF"/>
              </w:rPr>
              <w:t>.</w:t>
            </w:r>
            <w:r w:rsidR="00145D2F">
              <w:rPr>
                <w:bCs/>
                <w:color w:val="000000"/>
                <w:sz w:val="24"/>
                <w:shd w:val="clear" w:color="auto" w:fill="FFFFFF"/>
              </w:rPr>
              <w:t>4</w:t>
            </w:r>
            <w:r>
              <w:rPr>
                <w:rFonts w:hint="eastAsia"/>
                <w:bCs/>
                <w:color w:val="000000"/>
                <w:sz w:val="24"/>
                <w:shd w:val="clear" w:color="auto" w:fill="FFFFFF"/>
              </w:rPr>
              <w:t>495</w:t>
            </w:r>
            <w:r>
              <w:rPr>
                <w:rFonts w:hint="eastAsia"/>
                <w:bCs/>
                <w:color w:val="000000"/>
                <w:sz w:val="24"/>
                <w:shd w:val="clear" w:color="auto" w:fill="FFFFFF"/>
              </w:rPr>
              <w:t>万元</w:t>
            </w:r>
          </w:p>
        </w:tc>
      </w:tr>
      <w:tr w:rsidR="005F284F">
        <w:trPr>
          <w:trHeight w:val="340"/>
          <w:jc w:val="center"/>
        </w:trPr>
        <w:tc>
          <w:tcPr>
            <w:tcW w:w="1968" w:type="dxa"/>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成立时间</w:t>
            </w:r>
          </w:p>
        </w:tc>
        <w:tc>
          <w:tcPr>
            <w:tcW w:w="6308" w:type="dxa"/>
            <w:gridSpan w:val="3"/>
            <w:vAlign w:val="center"/>
          </w:tcPr>
          <w:p w:rsidR="005F284F" w:rsidRDefault="00A9129C">
            <w:pPr>
              <w:rPr>
                <w:bCs/>
                <w:color w:val="000000"/>
                <w:sz w:val="24"/>
                <w:shd w:val="clear" w:color="auto" w:fill="FFFFFF"/>
              </w:rPr>
            </w:pPr>
            <w:r>
              <w:rPr>
                <w:rFonts w:hint="eastAsia"/>
                <w:bCs/>
                <w:color w:val="000000"/>
                <w:sz w:val="24"/>
                <w:shd w:val="clear" w:color="auto" w:fill="FFFFFF"/>
              </w:rPr>
              <w:t>2006</w:t>
            </w:r>
            <w:r>
              <w:rPr>
                <w:rFonts w:hint="eastAsia"/>
                <w:bCs/>
                <w:color w:val="000000"/>
                <w:sz w:val="24"/>
                <w:shd w:val="clear" w:color="auto" w:fill="FFFFFF"/>
              </w:rPr>
              <w:t>年</w:t>
            </w:r>
            <w:r>
              <w:rPr>
                <w:rFonts w:hint="eastAsia"/>
                <w:bCs/>
                <w:color w:val="000000"/>
                <w:sz w:val="24"/>
                <w:shd w:val="clear" w:color="auto" w:fill="FFFFFF"/>
              </w:rPr>
              <w:t>10</w:t>
            </w:r>
            <w:r>
              <w:rPr>
                <w:rFonts w:hint="eastAsia"/>
                <w:bCs/>
                <w:color w:val="000000"/>
                <w:sz w:val="24"/>
                <w:shd w:val="clear" w:color="auto" w:fill="FFFFFF"/>
              </w:rPr>
              <w:t>月</w:t>
            </w:r>
            <w:r>
              <w:rPr>
                <w:rFonts w:hint="eastAsia"/>
                <w:bCs/>
                <w:color w:val="000000"/>
                <w:sz w:val="24"/>
                <w:shd w:val="clear" w:color="auto" w:fill="FFFFFF"/>
              </w:rPr>
              <w:t>18</w:t>
            </w:r>
            <w:r>
              <w:rPr>
                <w:rFonts w:hint="eastAsia"/>
                <w:bCs/>
                <w:color w:val="000000"/>
                <w:sz w:val="24"/>
                <w:shd w:val="clear" w:color="auto" w:fill="FFFFFF"/>
              </w:rPr>
              <w:t>日</w:t>
            </w:r>
          </w:p>
        </w:tc>
      </w:tr>
      <w:tr w:rsidR="005F284F">
        <w:trPr>
          <w:trHeight w:val="340"/>
          <w:jc w:val="center"/>
        </w:trPr>
        <w:tc>
          <w:tcPr>
            <w:tcW w:w="1968" w:type="dxa"/>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经营范围</w:t>
            </w:r>
          </w:p>
        </w:tc>
        <w:tc>
          <w:tcPr>
            <w:tcW w:w="6308" w:type="dxa"/>
            <w:gridSpan w:val="3"/>
            <w:vAlign w:val="center"/>
          </w:tcPr>
          <w:p w:rsidR="005F284F" w:rsidRDefault="00A9129C">
            <w:pPr>
              <w:rPr>
                <w:bCs/>
                <w:color w:val="000000"/>
                <w:sz w:val="24"/>
                <w:shd w:val="clear" w:color="auto" w:fill="FFFFFF"/>
              </w:rPr>
            </w:pPr>
            <w:r>
              <w:rPr>
                <w:rFonts w:hint="eastAsia"/>
                <w:bCs/>
                <w:color w:val="000000"/>
                <w:sz w:val="24"/>
                <w:shd w:val="clear" w:color="auto" w:fill="FFFFFF"/>
              </w:rPr>
              <w:t>一般经营项目是：电子产品的技术开发、销售；电子通讯产品、通讯模块的技术开发及销售；通讯模块软件的技术开发、销售及相关技术咨询；车联网终端、车载智能终端、物联网通信终端的技术开发及销售；其它国内商业、物资供销业，货物及技术进出口。许可经营项目是：电子通讯产品、通讯模块、车联网终端、车载智能终端、物联网通信终端的生产加工。</w:t>
            </w:r>
          </w:p>
        </w:tc>
      </w:tr>
      <w:tr w:rsidR="005F284F" w:rsidRPr="00AF3985">
        <w:trPr>
          <w:trHeight w:val="340"/>
          <w:jc w:val="center"/>
        </w:trPr>
        <w:tc>
          <w:tcPr>
            <w:tcW w:w="1968" w:type="dxa"/>
            <w:vMerge w:val="restart"/>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主要财务数据</w:t>
            </w:r>
          </w:p>
          <w:p w:rsidR="005F284F" w:rsidRDefault="00A9129C">
            <w:pPr>
              <w:jc w:val="center"/>
              <w:rPr>
                <w:bCs/>
                <w:color w:val="000000"/>
                <w:sz w:val="24"/>
                <w:shd w:val="clear" w:color="auto" w:fill="FFFFFF"/>
              </w:rPr>
            </w:pPr>
            <w:r>
              <w:rPr>
                <w:rFonts w:hint="eastAsia"/>
                <w:bCs/>
                <w:color w:val="000000"/>
                <w:sz w:val="24"/>
                <w:shd w:val="clear" w:color="auto" w:fill="FFFFFF"/>
              </w:rPr>
              <w:t>（万元）</w:t>
            </w:r>
          </w:p>
        </w:tc>
        <w:tc>
          <w:tcPr>
            <w:tcW w:w="2102" w:type="dxa"/>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项目</w:t>
            </w:r>
          </w:p>
        </w:tc>
        <w:tc>
          <w:tcPr>
            <w:tcW w:w="2102" w:type="dxa"/>
            <w:vAlign w:val="center"/>
          </w:tcPr>
          <w:p w:rsidR="005F284F" w:rsidRDefault="00A9129C" w:rsidP="00145D2F">
            <w:pPr>
              <w:jc w:val="center"/>
              <w:rPr>
                <w:bCs/>
                <w:color w:val="000000"/>
                <w:sz w:val="24"/>
                <w:shd w:val="clear" w:color="auto" w:fill="FFFFFF"/>
              </w:rPr>
            </w:pPr>
            <w:r>
              <w:rPr>
                <w:rFonts w:hint="eastAsia"/>
                <w:bCs/>
                <w:color w:val="000000"/>
                <w:sz w:val="24"/>
                <w:shd w:val="clear" w:color="auto" w:fill="FFFFFF"/>
              </w:rPr>
              <w:t>202</w:t>
            </w:r>
            <w:r w:rsidR="00145D2F">
              <w:rPr>
                <w:bCs/>
                <w:color w:val="000000"/>
                <w:sz w:val="24"/>
                <w:shd w:val="clear" w:color="auto" w:fill="FFFFFF"/>
              </w:rPr>
              <w:t>3</w:t>
            </w:r>
            <w:r>
              <w:rPr>
                <w:rFonts w:hint="eastAsia"/>
                <w:bCs/>
                <w:color w:val="000000"/>
                <w:sz w:val="24"/>
                <w:shd w:val="clear" w:color="auto" w:fill="FFFFFF"/>
              </w:rPr>
              <w:t>年</w:t>
            </w:r>
            <w:r>
              <w:rPr>
                <w:rFonts w:hint="eastAsia"/>
                <w:bCs/>
                <w:color w:val="000000"/>
                <w:sz w:val="24"/>
                <w:shd w:val="clear" w:color="auto" w:fill="FFFFFF"/>
              </w:rPr>
              <w:t>/</w:t>
            </w:r>
            <w:r>
              <w:rPr>
                <w:bCs/>
                <w:color w:val="000000"/>
                <w:sz w:val="24"/>
                <w:shd w:val="clear" w:color="auto" w:fill="FFFFFF"/>
              </w:rPr>
              <w:t>202</w:t>
            </w:r>
            <w:r w:rsidR="00145D2F">
              <w:rPr>
                <w:bCs/>
                <w:color w:val="000000"/>
                <w:sz w:val="24"/>
                <w:shd w:val="clear" w:color="auto" w:fill="FFFFFF"/>
              </w:rPr>
              <w:t>3</w:t>
            </w:r>
            <w:r>
              <w:rPr>
                <w:bCs/>
                <w:color w:val="000000"/>
                <w:sz w:val="24"/>
                <w:shd w:val="clear" w:color="auto" w:fill="FFFFFF"/>
              </w:rPr>
              <w:t>.12.31</w:t>
            </w:r>
            <w:r>
              <w:rPr>
                <w:bCs/>
                <w:color w:val="000000"/>
                <w:sz w:val="24"/>
                <w:shd w:val="clear" w:color="auto" w:fill="FFFFFF"/>
              </w:rPr>
              <w:t>（经审计）</w:t>
            </w:r>
          </w:p>
        </w:tc>
        <w:tc>
          <w:tcPr>
            <w:tcW w:w="2104" w:type="dxa"/>
            <w:vAlign w:val="center"/>
          </w:tcPr>
          <w:p w:rsidR="005F284F" w:rsidRDefault="009512C1" w:rsidP="00EE4E55">
            <w:pPr>
              <w:jc w:val="center"/>
              <w:rPr>
                <w:bCs/>
                <w:color w:val="000000"/>
                <w:sz w:val="24"/>
                <w:shd w:val="clear" w:color="auto" w:fill="FFFFFF"/>
              </w:rPr>
            </w:pPr>
            <w:r>
              <w:rPr>
                <w:rFonts w:hint="eastAsia"/>
                <w:bCs/>
                <w:color w:val="000000"/>
                <w:sz w:val="24"/>
                <w:shd w:val="clear" w:color="auto" w:fill="FFFFFF"/>
              </w:rPr>
              <w:t>202</w:t>
            </w:r>
            <w:r w:rsidR="00EE4E55">
              <w:rPr>
                <w:bCs/>
                <w:color w:val="000000"/>
                <w:sz w:val="24"/>
                <w:shd w:val="clear" w:color="auto" w:fill="FFFFFF"/>
              </w:rPr>
              <w:t>4</w:t>
            </w:r>
            <w:r w:rsidR="00A9129C">
              <w:rPr>
                <w:rFonts w:hint="eastAsia"/>
                <w:bCs/>
                <w:color w:val="000000"/>
                <w:sz w:val="24"/>
                <w:shd w:val="clear" w:color="auto" w:fill="FFFFFF"/>
              </w:rPr>
              <w:t>年</w:t>
            </w:r>
            <w:r w:rsidR="00061000">
              <w:rPr>
                <w:rFonts w:hint="eastAsia"/>
                <w:bCs/>
                <w:color w:val="000000"/>
                <w:sz w:val="24"/>
                <w:shd w:val="clear" w:color="auto" w:fill="FFFFFF"/>
              </w:rPr>
              <w:t>第三季度</w:t>
            </w:r>
            <w:r w:rsidR="00A40A8A">
              <w:rPr>
                <w:rFonts w:hint="eastAsia"/>
                <w:bCs/>
                <w:color w:val="000000"/>
                <w:sz w:val="24"/>
                <w:shd w:val="clear" w:color="auto" w:fill="FFFFFF"/>
              </w:rPr>
              <w:t>报</w:t>
            </w:r>
            <w:r w:rsidR="00061000">
              <w:rPr>
                <w:rFonts w:hint="eastAsia"/>
                <w:bCs/>
                <w:color w:val="000000"/>
                <w:sz w:val="24"/>
                <w:shd w:val="clear" w:color="auto" w:fill="FFFFFF"/>
              </w:rPr>
              <w:t>告</w:t>
            </w:r>
            <w:r w:rsidR="00A9129C">
              <w:rPr>
                <w:rFonts w:hint="eastAsia"/>
                <w:bCs/>
                <w:color w:val="000000"/>
                <w:sz w:val="24"/>
                <w:shd w:val="clear" w:color="auto" w:fill="FFFFFF"/>
              </w:rPr>
              <w:t>/</w:t>
            </w:r>
            <w:r>
              <w:rPr>
                <w:bCs/>
                <w:color w:val="000000"/>
                <w:sz w:val="24"/>
                <w:shd w:val="clear" w:color="auto" w:fill="FFFFFF"/>
              </w:rPr>
              <w:t>202</w:t>
            </w:r>
            <w:r w:rsidR="00EE4E55">
              <w:rPr>
                <w:bCs/>
                <w:color w:val="000000"/>
                <w:sz w:val="24"/>
                <w:shd w:val="clear" w:color="auto" w:fill="FFFFFF"/>
              </w:rPr>
              <w:t>4</w:t>
            </w:r>
            <w:r w:rsidR="00A9129C">
              <w:rPr>
                <w:bCs/>
                <w:color w:val="000000"/>
                <w:sz w:val="24"/>
                <w:shd w:val="clear" w:color="auto" w:fill="FFFFFF"/>
              </w:rPr>
              <w:t>.</w:t>
            </w:r>
            <w:r w:rsidR="00061000">
              <w:rPr>
                <w:bCs/>
                <w:color w:val="000000"/>
                <w:sz w:val="24"/>
                <w:shd w:val="clear" w:color="auto" w:fill="FFFFFF"/>
              </w:rPr>
              <w:t>9</w:t>
            </w:r>
            <w:r w:rsidR="00A9129C">
              <w:rPr>
                <w:bCs/>
                <w:color w:val="000000"/>
                <w:sz w:val="24"/>
                <w:shd w:val="clear" w:color="auto" w:fill="FFFFFF"/>
              </w:rPr>
              <w:t>.3</w:t>
            </w:r>
            <w:r w:rsidR="00A14C34">
              <w:rPr>
                <w:bCs/>
                <w:color w:val="000000"/>
                <w:sz w:val="24"/>
                <w:shd w:val="clear" w:color="auto" w:fill="FFFFFF"/>
              </w:rPr>
              <w:t>0</w:t>
            </w:r>
            <w:r w:rsidR="00A9129C">
              <w:rPr>
                <w:bCs/>
                <w:color w:val="000000"/>
                <w:sz w:val="24"/>
                <w:shd w:val="clear" w:color="auto" w:fill="FFFFFF"/>
              </w:rPr>
              <w:t>（未经审计）</w:t>
            </w:r>
          </w:p>
        </w:tc>
      </w:tr>
      <w:tr w:rsidR="005F284F">
        <w:trPr>
          <w:trHeight w:val="340"/>
          <w:jc w:val="center"/>
        </w:trPr>
        <w:tc>
          <w:tcPr>
            <w:tcW w:w="1968" w:type="dxa"/>
            <w:vMerge/>
            <w:vAlign w:val="center"/>
          </w:tcPr>
          <w:p w:rsidR="005F284F" w:rsidRDefault="005F284F">
            <w:pPr>
              <w:jc w:val="center"/>
              <w:rPr>
                <w:bCs/>
                <w:color w:val="000000"/>
                <w:sz w:val="24"/>
                <w:shd w:val="clear" w:color="auto" w:fill="FFFFFF"/>
              </w:rPr>
            </w:pPr>
          </w:p>
        </w:tc>
        <w:tc>
          <w:tcPr>
            <w:tcW w:w="2102" w:type="dxa"/>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资产总额</w:t>
            </w:r>
          </w:p>
        </w:tc>
        <w:tc>
          <w:tcPr>
            <w:tcW w:w="2102" w:type="dxa"/>
            <w:vAlign w:val="center"/>
          </w:tcPr>
          <w:p w:rsidR="005F284F" w:rsidRDefault="00A9129C" w:rsidP="00992668">
            <w:pPr>
              <w:jc w:val="right"/>
              <w:rPr>
                <w:bCs/>
                <w:color w:val="000000"/>
                <w:sz w:val="24"/>
                <w:shd w:val="clear" w:color="auto" w:fill="FFFFFF"/>
              </w:rPr>
            </w:pPr>
            <w:r>
              <w:rPr>
                <w:rFonts w:hint="eastAsia"/>
                <w:bCs/>
                <w:color w:val="000000"/>
                <w:sz w:val="24"/>
                <w:shd w:val="clear" w:color="auto" w:fill="FFFFFF"/>
              </w:rPr>
              <w:t>1</w:t>
            </w:r>
            <w:r w:rsidR="00145D2F">
              <w:rPr>
                <w:bCs/>
                <w:color w:val="000000"/>
                <w:sz w:val="24"/>
                <w:shd w:val="clear" w:color="auto" w:fill="FFFFFF"/>
              </w:rPr>
              <w:t>5</w:t>
            </w:r>
            <w:r>
              <w:rPr>
                <w:rFonts w:hint="eastAsia"/>
                <w:bCs/>
                <w:color w:val="000000"/>
                <w:sz w:val="24"/>
                <w:shd w:val="clear" w:color="auto" w:fill="FFFFFF"/>
              </w:rPr>
              <w:t>6,</w:t>
            </w:r>
            <w:r w:rsidR="00992668">
              <w:rPr>
                <w:bCs/>
                <w:color w:val="000000"/>
                <w:sz w:val="24"/>
                <w:shd w:val="clear" w:color="auto" w:fill="FFFFFF"/>
              </w:rPr>
              <w:t>923</w:t>
            </w:r>
            <w:r>
              <w:rPr>
                <w:rFonts w:hint="eastAsia"/>
                <w:bCs/>
                <w:color w:val="000000"/>
                <w:sz w:val="24"/>
                <w:shd w:val="clear" w:color="auto" w:fill="FFFFFF"/>
              </w:rPr>
              <w:t>.</w:t>
            </w:r>
            <w:r w:rsidR="00992668">
              <w:rPr>
                <w:bCs/>
                <w:color w:val="000000"/>
                <w:sz w:val="24"/>
                <w:shd w:val="clear" w:color="auto" w:fill="FFFFFF"/>
              </w:rPr>
              <w:t>42</w:t>
            </w:r>
            <w:r>
              <w:rPr>
                <w:rFonts w:hint="eastAsia"/>
                <w:bCs/>
                <w:color w:val="000000"/>
                <w:sz w:val="24"/>
                <w:shd w:val="clear" w:color="auto" w:fill="FFFFFF"/>
              </w:rPr>
              <w:t xml:space="preserve"> </w:t>
            </w:r>
          </w:p>
        </w:tc>
        <w:tc>
          <w:tcPr>
            <w:tcW w:w="2104" w:type="dxa"/>
            <w:vAlign w:val="center"/>
          </w:tcPr>
          <w:p w:rsidR="005F284F" w:rsidRPr="00061000" w:rsidRDefault="00061000" w:rsidP="00061000">
            <w:pPr>
              <w:jc w:val="right"/>
              <w:rPr>
                <w:bCs/>
                <w:color w:val="000000"/>
                <w:sz w:val="24"/>
                <w:highlight w:val="yellow"/>
                <w:shd w:val="clear" w:color="auto" w:fill="FFFFFF"/>
              </w:rPr>
            </w:pPr>
            <w:r w:rsidRPr="00061000">
              <w:rPr>
                <w:bCs/>
                <w:color w:val="000000"/>
                <w:sz w:val="24"/>
                <w:shd w:val="clear" w:color="auto" w:fill="FFFFFF"/>
              </w:rPr>
              <w:t>193,553</w:t>
            </w:r>
            <w:r w:rsidRPr="00061000">
              <w:rPr>
                <w:rFonts w:hint="eastAsia"/>
                <w:bCs/>
                <w:color w:val="000000"/>
                <w:sz w:val="24"/>
                <w:shd w:val="clear" w:color="auto" w:fill="FFFFFF"/>
              </w:rPr>
              <w:t>.</w:t>
            </w:r>
            <w:r w:rsidRPr="00061000">
              <w:rPr>
                <w:bCs/>
                <w:color w:val="000000"/>
                <w:sz w:val="24"/>
                <w:shd w:val="clear" w:color="auto" w:fill="FFFFFF"/>
              </w:rPr>
              <w:t>22</w:t>
            </w:r>
          </w:p>
        </w:tc>
      </w:tr>
      <w:tr w:rsidR="005F284F">
        <w:trPr>
          <w:trHeight w:val="340"/>
          <w:jc w:val="center"/>
        </w:trPr>
        <w:tc>
          <w:tcPr>
            <w:tcW w:w="1968" w:type="dxa"/>
            <w:vMerge/>
            <w:vAlign w:val="center"/>
          </w:tcPr>
          <w:p w:rsidR="005F284F" w:rsidRDefault="005F284F">
            <w:pPr>
              <w:jc w:val="center"/>
              <w:rPr>
                <w:bCs/>
                <w:color w:val="000000"/>
                <w:sz w:val="24"/>
                <w:shd w:val="clear" w:color="auto" w:fill="FFFFFF"/>
              </w:rPr>
            </w:pPr>
          </w:p>
        </w:tc>
        <w:tc>
          <w:tcPr>
            <w:tcW w:w="2102" w:type="dxa"/>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负债总额</w:t>
            </w:r>
          </w:p>
        </w:tc>
        <w:tc>
          <w:tcPr>
            <w:tcW w:w="2102" w:type="dxa"/>
            <w:vAlign w:val="center"/>
          </w:tcPr>
          <w:p w:rsidR="005F284F" w:rsidRPr="00992668" w:rsidRDefault="00992668" w:rsidP="00992668">
            <w:pPr>
              <w:jc w:val="right"/>
              <w:rPr>
                <w:bCs/>
                <w:color w:val="000000"/>
                <w:sz w:val="24"/>
                <w:highlight w:val="yellow"/>
                <w:shd w:val="clear" w:color="auto" w:fill="FFFFFF"/>
              </w:rPr>
            </w:pPr>
            <w:r w:rsidRPr="00992668">
              <w:rPr>
                <w:bCs/>
                <w:color w:val="000000"/>
                <w:sz w:val="24"/>
                <w:shd w:val="clear" w:color="auto" w:fill="FFFFFF"/>
              </w:rPr>
              <w:t>82</w:t>
            </w:r>
            <w:r w:rsidR="00A9129C" w:rsidRPr="00992668">
              <w:rPr>
                <w:rFonts w:hint="eastAsia"/>
                <w:bCs/>
                <w:color w:val="000000"/>
                <w:sz w:val="24"/>
                <w:shd w:val="clear" w:color="auto" w:fill="FFFFFF"/>
              </w:rPr>
              <w:t>,</w:t>
            </w:r>
            <w:r w:rsidRPr="00992668">
              <w:rPr>
                <w:bCs/>
                <w:color w:val="000000"/>
                <w:sz w:val="24"/>
                <w:shd w:val="clear" w:color="auto" w:fill="FFFFFF"/>
              </w:rPr>
              <w:t>228</w:t>
            </w:r>
            <w:r w:rsidR="00A9129C" w:rsidRPr="00992668">
              <w:rPr>
                <w:rFonts w:hint="eastAsia"/>
                <w:bCs/>
                <w:color w:val="000000"/>
                <w:sz w:val="24"/>
                <w:shd w:val="clear" w:color="auto" w:fill="FFFFFF"/>
              </w:rPr>
              <w:t>.</w:t>
            </w:r>
            <w:r w:rsidRPr="00992668">
              <w:rPr>
                <w:bCs/>
                <w:color w:val="000000"/>
                <w:sz w:val="24"/>
                <w:shd w:val="clear" w:color="auto" w:fill="FFFFFF"/>
              </w:rPr>
              <w:t>79</w:t>
            </w:r>
            <w:r w:rsidR="00A9129C" w:rsidRPr="00992668">
              <w:rPr>
                <w:rFonts w:hint="eastAsia"/>
                <w:bCs/>
                <w:color w:val="000000"/>
                <w:sz w:val="24"/>
                <w:highlight w:val="yellow"/>
                <w:shd w:val="clear" w:color="auto" w:fill="FFFFFF"/>
              </w:rPr>
              <w:t xml:space="preserve"> </w:t>
            </w:r>
          </w:p>
        </w:tc>
        <w:tc>
          <w:tcPr>
            <w:tcW w:w="2104" w:type="dxa"/>
            <w:vAlign w:val="center"/>
          </w:tcPr>
          <w:p w:rsidR="005F284F" w:rsidRPr="00061000" w:rsidRDefault="00165E0B" w:rsidP="00165E0B">
            <w:pPr>
              <w:jc w:val="right"/>
              <w:rPr>
                <w:bCs/>
                <w:color w:val="000000"/>
                <w:sz w:val="24"/>
                <w:highlight w:val="yellow"/>
                <w:shd w:val="clear" w:color="auto" w:fill="FFFFFF"/>
              </w:rPr>
            </w:pPr>
            <w:r w:rsidRPr="00165E0B">
              <w:rPr>
                <w:bCs/>
                <w:color w:val="000000"/>
                <w:sz w:val="24"/>
                <w:shd w:val="clear" w:color="auto" w:fill="FFFFFF"/>
              </w:rPr>
              <w:t>109,357.35</w:t>
            </w:r>
          </w:p>
        </w:tc>
      </w:tr>
      <w:tr w:rsidR="005F284F">
        <w:trPr>
          <w:trHeight w:val="340"/>
          <w:jc w:val="center"/>
        </w:trPr>
        <w:tc>
          <w:tcPr>
            <w:tcW w:w="1968" w:type="dxa"/>
            <w:vMerge/>
            <w:vAlign w:val="center"/>
          </w:tcPr>
          <w:p w:rsidR="005F284F" w:rsidRDefault="005F284F">
            <w:pPr>
              <w:jc w:val="center"/>
              <w:rPr>
                <w:bCs/>
                <w:color w:val="000000"/>
                <w:sz w:val="24"/>
                <w:shd w:val="clear" w:color="auto" w:fill="FFFFFF"/>
              </w:rPr>
            </w:pPr>
          </w:p>
        </w:tc>
        <w:tc>
          <w:tcPr>
            <w:tcW w:w="2102" w:type="dxa"/>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净资产</w:t>
            </w:r>
          </w:p>
        </w:tc>
        <w:tc>
          <w:tcPr>
            <w:tcW w:w="2102" w:type="dxa"/>
            <w:vAlign w:val="center"/>
          </w:tcPr>
          <w:p w:rsidR="005F284F" w:rsidRPr="00992668" w:rsidRDefault="00A9129C" w:rsidP="00992668">
            <w:pPr>
              <w:jc w:val="right"/>
              <w:rPr>
                <w:bCs/>
                <w:color w:val="000000"/>
                <w:sz w:val="24"/>
                <w:highlight w:val="yellow"/>
                <w:shd w:val="clear" w:color="auto" w:fill="FFFFFF"/>
              </w:rPr>
            </w:pPr>
            <w:r w:rsidRPr="00992668">
              <w:rPr>
                <w:rFonts w:hint="eastAsia"/>
                <w:bCs/>
                <w:color w:val="000000"/>
                <w:sz w:val="24"/>
                <w:shd w:val="clear" w:color="auto" w:fill="FFFFFF"/>
              </w:rPr>
              <w:t>7</w:t>
            </w:r>
            <w:r w:rsidR="00992668" w:rsidRPr="00992668">
              <w:rPr>
                <w:bCs/>
                <w:color w:val="000000"/>
                <w:sz w:val="24"/>
                <w:shd w:val="clear" w:color="auto" w:fill="FFFFFF"/>
              </w:rPr>
              <w:t>4</w:t>
            </w:r>
            <w:r w:rsidRPr="00992668">
              <w:rPr>
                <w:rFonts w:hint="eastAsia"/>
                <w:bCs/>
                <w:color w:val="000000"/>
                <w:sz w:val="24"/>
                <w:shd w:val="clear" w:color="auto" w:fill="FFFFFF"/>
              </w:rPr>
              <w:t>,6</w:t>
            </w:r>
            <w:r w:rsidR="00992668" w:rsidRPr="00992668">
              <w:rPr>
                <w:bCs/>
                <w:color w:val="000000"/>
                <w:sz w:val="24"/>
                <w:shd w:val="clear" w:color="auto" w:fill="FFFFFF"/>
              </w:rPr>
              <w:t>94</w:t>
            </w:r>
            <w:r w:rsidRPr="00992668">
              <w:rPr>
                <w:rFonts w:hint="eastAsia"/>
                <w:bCs/>
                <w:color w:val="000000"/>
                <w:sz w:val="24"/>
                <w:shd w:val="clear" w:color="auto" w:fill="FFFFFF"/>
              </w:rPr>
              <w:t>.</w:t>
            </w:r>
            <w:r w:rsidR="00992668" w:rsidRPr="00992668">
              <w:rPr>
                <w:bCs/>
                <w:color w:val="000000"/>
                <w:sz w:val="24"/>
                <w:shd w:val="clear" w:color="auto" w:fill="FFFFFF"/>
              </w:rPr>
              <w:t>63</w:t>
            </w:r>
            <w:r w:rsidRPr="00992668">
              <w:rPr>
                <w:rFonts w:hint="eastAsia"/>
                <w:bCs/>
                <w:color w:val="000000"/>
                <w:sz w:val="24"/>
                <w:highlight w:val="yellow"/>
                <w:shd w:val="clear" w:color="auto" w:fill="FFFFFF"/>
              </w:rPr>
              <w:t xml:space="preserve"> </w:t>
            </w:r>
          </w:p>
        </w:tc>
        <w:tc>
          <w:tcPr>
            <w:tcW w:w="2104" w:type="dxa"/>
            <w:vAlign w:val="center"/>
          </w:tcPr>
          <w:p w:rsidR="005F284F" w:rsidRPr="00061000" w:rsidRDefault="00165E0B" w:rsidP="00165E0B">
            <w:pPr>
              <w:jc w:val="right"/>
              <w:rPr>
                <w:bCs/>
                <w:color w:val="000000"/>
                <w:sz w:val="24"/>
                <w:highlight w:val="yellow"/>
                <w:shd w:val="clear" w:color="auto" w:fill="FFFFFF"/>
              </w:rPr>
            </w:pPr>
            <w:r w:rsidRPr="00165E0B">
              <w:rPr>
                <w:bCs/>
                <w:color w:val="000000"/>
                <w:sz w:val="24"/>
                <w:shd w:val="clear" w:color="auto" w:fill="FFFFFF"/>
              </w:rPr>
              <w:t>84,195.87</w:t>
            </w:r>
            <w:r w:rsidR="00A9129C" w:rsidRPr="00165E0B">
              <w:rPr>
                <w:rFonts w:hint="eastAsia"/>
                <w:bCs/>
                <w:color w:val="000000"/>
                <w:sz w:val="24"/>
                <w:shd w:val="clear" w:color="auto" w:fill="FFFFFF"/>
              </w:rPr>
              <w:t xml:space="preserve"> </w:t>
            </w:r>
          </w:p>
        </w:tc>
      </w:tr>
      <w:tr w:rsidR="005F284F">
        <w:trPr>
          <w:trHeight w:val="340"/>
          <w:jc w:val="center"/>
        </w:trPr>
        <w:tc>
          <w:tcPr>
            <w:tcW w:w="1968" w:type="dxa"/>
            <w:vMerge/>
            <w:vAlign w:val="center"/>
          </w:tcPr>
          <w:p w:rsidR="005F284F" w:rsidRDefault="005F284F">
            <w:pPr>
              <w:jc w:val="center"/>
              <w:rPr>
                <w:bCs/>
                <w:color w:val="000000"/>
                <w:sz w:val="24"/>
                <w:shd w:val="clear" w:color="auto" w:fill="FFFFFF"/>
              </w:rPr>
            </w:pPr>
          </w:p>
        </w:tc>
        <w:tc>
          <w:tcPr>
            <w:tcW w:w="2102" w:type="dxa"/>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营业收入</w:t>
            </w:r>
          </w:p>
        </w:tc>
        <w:tc>
          <w:tcPr>
            <w:tcW w:w="2102" w:type="dxa"/>
            <w:vAlign w:val="center"/>
          </w:tcPr>
          <w:p w:rsidR="005F284F" w:rsidRPr="00992668" w:rsidRDefault="000F7ABA" w:rsidP="000F7ABA">
            <w:pPr>
              <w:jc w:val="right"/>
              <w:rPr>
                <w:bCs/>
                <w:color w:val="000000"/>
                <w:sz w:val="24"/>
                <w:highlight w:val="yellow"/>
                <w:shd w:val="clear" w:color="auto" w:fill="FFFFFF"/>
              </w:rPr>
            </w:pPr>
            <w:r w:rsidRPr="000F7ABA">
              <w:rPr>
                <w:bCs/>
                <w:color w:val="000000"/>
                <w:sz w:val="24"/>
                <w:shd w:val="clear" w:color="auto" w:fill="FFFFFF"/>
              </w:rPr>
              <w:t>9</w:t>
            </w:r>
            <w:r w:rsidR="00A9129C" w:rsidRPr="000F7ABA">
              <w:rPr>
                <w:bCs/>
                <w:color w:val="000000"/>
                <w:sz w:val="24"/>
                <w:shd w:val="clear" w:color="auto" w:fill="FFFFFF"/>
              </w:rPr>
              <w:t>3,</w:t>
            </w:r>
            <w:r w:rsidRPr="000F7ABA">
              <w:rPr>
                <w:bCs/>
                <w:color w:val="000000"/>
                <w:sz w:val="24"/>
                <w:shd w:val="clear" w:color="auto" w:fill="FFFFFF"/>
              </w:rPr>
              <w:t>192</w:t>
            </w:r>
            <w:r w:rsidR="00A9129C" w:rsidRPr="000F7ABA">
              <w:rPr>
                <w:rFonts w:hint="eastAsia"/>
                <w:bCs/>
                <w:color w:val="000000"/>
                <w:sz w:val="24"/>
                <w:shd w:val="clear" w:color="auto" w:fill="FFFFFF"/>
              </w:rPr>
              <w:t>.</w:t>
            </w:r>
            <w:r w:rsidR="00A9129C" w:rsidRPr="000F7ABA">
              <w:rPr>
                <w:bCs/>
                <w:color w:val="000000"/>
                <w:sz w:val="24"/>
                <w:shd w:val="clear" w:color="auto" w:fill="FFFFFF"/>
              </w:rPr>
              <w:t>4</w:t>
            </w:r>
            <w:r w:rsidRPr="000F7ABA">
              <w:rPr>
                <w:bCs/>
                <w:color w:val="000000"/>
                <w:sz w:val="24"/>
                <w:shd w:val="clear" w:color="auto" w:fill="FFFFFF"/>
              </w:rPr>
              <w:t>9</w:t>
            </w:r>
          </w:p>
        </w:tc>
        <w:tc>
          <w:tcPr>
            <w:tcW w:w="2104" w:type="dxa"/>
            <w:vAlign w:val="center"/>
          </w:tcPr>
          <w:p w:rsidR="005F284F" w:rsidRPr="00061000" w:rsidRDefault="00F9238D" w:rsidP="00F9238D">
            <w:pPr>
              <w:jc w:val="right"/>
              <w:rPr>
                <w:bCs/>
                <w:color w:val="000000"/>
                <w:sz w:val="24"/>
                <w:highlight w:val="yellow"/>
                <w:shd w:val="clear" w:color="auto" w:fill="FFFFFF"/>
              </w:rPr>
            </w:pPr>
            <w:r>
              <w:rPr>
                <w:bCs/>
                <w:color w:val="000000"/>
                <w:sz w:val="24"/>
                <w:shd w:val="clear" w:color="auto" w:fill="FFFFFF"/>
              </w:rPr>
              <w:t>256,956.1</w:t>
            </w:r>
          </w:p>
        </w:tc>
      </w:tr>
      <w:tr w:rsidR="005F284F">
        <w:trPr>
          <w:trHeight w:val="340"/>
          <w:jc w:val="center"/>
        </w:trPr>
        <w:tc>
          <w:tcPr>
            <w:tcW w:w="1968" w:type="dxa"/>
            <w:vMerge/>
            <w:vAlign w:val="center"/>
          </w:tcPr>
          <w:p w:rsidR="005F284F" w:rsidRDefault="005F284F">
            <w:pPr>
              <w:jc w:val="center"/>
              <w:rPr>
                <w:bCs/>
                <w:color w:val="000000"/>
                <w:sz w:val="24"/>
                <w:shd w:val="clear" w:color="auto" w:fill="FFFFFF"/>
              </w:rPr>
            </w:pPr>
          </w:p>
        </w:tc>
        <w:tc>
          <w:tcPr>
            <w:tcW w:w="2102" w:type="dxa"/>
            <w:vAlign w:val="center"/>
          </w:tcPr>
          <w:p w:rsidR="005F284F" w:rsidRDefault="006408AA">
            <w:pPr>
              <w:jc w:val="center"/>
              <w:rPr>
                <w:bCs/>
                <w:color w:val="000000"/>
                <w:sz w:val="24"/>
                <w:shd w:val="clear" w:color="auto" w:fill="FFFFFF"/>
              </w:rPr>
            </w:pPr>
            <w:r>
              <w:rPr>
                <w:rFonts w:hint="eastAsia"/>
                <w:bCs/>
                <w:color w:val="000000"/>
                <w:sz w:val="24"/>
                <w:shd w:val="clear" w:color="auto" w:fill="FFFFFF"/>
              </w:rPr>
              <w:t>归属于母公司股东的</w:t>
            </w:r>
            <w:r w:rsidR="00A9129C">
              <w:rPr>
                <w:rFonts w:hint="eastAsia"/>
                <w:bCs/>
                <w:color w:val="000000"/>
                <w:sz w:val="24"/>
                <w:shd w:val="clear" w:color="auto" w:fill="FFFFFF"/>
              </w:rPr>
              <w:t>净利润</w:t>
            </w:r>
          </w:p>
        </w:tc>
        <w:tc>
          <w:tcPr>
            <w:tcW w:w="2102" w:type="dxa"/>
            <w:vAlign w:val="center"/>
          </w:tcPr>
          <w:p w:rsidR="005F284F" w:rsidRPr="00992668" w:rsidRDefault="00A9129C" w:rsidP="000F7ABA">
            <w:pPr>
              <w:jc w:val="right"/>
              <w:rPr>
                <w:bCs/>
                <w:color w:val="000000"/>
                <w:sz w:val="24"/>
                <w:highlight w:val="yellow"/>
                <w:shd w:val="clear" w:color="auto" w:fill="FFFFFF"/>
              </w:rPr>
            </w:pPr>
            <w:r w:rsidRPr="000F7ABA">
              <w:rPr>
                <w:bCs/>
                <w:color w:val="000000"/>
                <w:sz w:val="24"/>
                <w:shd w:val="clear" w:color="auto" w:fill="FFFFFF"/>
              </w:rPr>
              <w:t>-</w:t>
            </w:r>
            <w:r w:rsidR="000F7ABA" w:rsidRPr="000F7ABA">
              <w:rPr>
                <w:bCs/>
                <w:color w:val="000000"/>
                <w:sz w:val="24"/>
                <w:shd w:val="clear" w:color="auto" w:fill="FFFFFF"/>
              </w:rPr>
              <w:t>3</w:t>
            </w:r>
            <w:r w:rsidRPr="000F7ABA">
              <w:rPr>
                <w:bCs/>
                <w:color w:val="000000"/>
                <w:sz w:val="24"/>
                <w:shd w:val="clear" w:color="auto" w:fill="FFFFFF"/>
              </w:rPr>
              <w:t>,</w:t>
            </w:r>
            <w:r w:rsidR="000F7ABA" w:rsidRPr="000F7ABA">
              <w:rPr>
                <w:bCs/>
                <w:color w:val="000000"/>
                <w:sz w:val="24"/>
                <w:shd w:val="clear" w:color="auto" w:fill="FFFFFF"/>
              </w:rPr>
              <w:t>843</w:t>
            </w:r>
            <w:r w:rsidRPr="000F7ABA">
              <w:rPr>
                <w:bCs/>
                <w:color w:val="000000"/>
                <w:sz w:val="24"/>
                <w:shd w:val="clear" w:color="auto" w:fill="FFFFFF"/>
              </w:rPr>
              <w:t>.</w:t>
            </w:r>
            <w:r w:rsidR="000F7ABA" w:rsidRPr="000F7ABA">
              <w:rPr>
                <w:bCs/>
                <w:color w:val="000000"/>
                <w:sz w:val="24"/>
                <w:shd w:val="clear" w:color="auto" w:fill="FFFFFF"/>
              </w:rPr>
              <w:t>16</w:t>
            </w:r>
          </w:p>
        </w:tc>
        <w:tc>
          <w:tcPr>
            <w:tcW w:w="2104" w:type="dxa"/>
            <w:vAlign w:val="center"/>
          </w:tcPr>
          <w:p w:rsidR="005F284F" w:rsidRPr="00061000" w:rsidRDefault="00F9238D" w:rsidP="00F9238D">
            <w:pPr>
              <w:jc w:val="right"/>
              <w:rPr>
                <w:bCs/>
                <w:color w:val="000000"/>
                <w:sz w:val="24"/>
                <w:highlight w:val="yellow"/>
                <w:shd w:val="clear" w:color="auto" w:fill="FFFFFF"/>
              </w:rPr>
            </w:pPr>
            <w:r>
              <w:rPr>
                <w:bCs/>
                <w:color w:val="000000"/>
                <w:sz w:val="24"/>
                <w:shd w:val="clear" w:color="auto" w:fill="FFFFFF"/>
              </w:rPr>
              <w:t>9,527.84</w:t>
            </w:r>
          </w:p>
        </w:tc>
      </w:tr>
      <w:tr w:rsidR="005F284F">
        <w:trPr>
          <w:trHeight w:val="340"/>
          <w:jc w:val="center"/>
        </w:trPr>
        <w:tc>
          <w:tcPr>
            <w:tcW w:w="1968" w:type="dxa"/>
            <w:vMerge/>
            <w:vAlign w:val="center"/>
          </w:tcPr>
          <w:p w:rsidR="005F284F" w:rsidRDefault="005F284F">
            <w:pPr>
              <w:jc w:val="center"/>
              <w:rPr>
                <w:bCs/>
                <w:color w:val="000000"/>
                <w:sz w:val="24"/>
                <w:shd w:val="clear" w:color="auto" w:fill="FFFFFF"/>
              </w:rPr>
            </w:pPr>
          </w:p>
        </w:tc>
        <w:tc>
          <w:tcPr>
            <w:tcW w:w="2102" w:type="dxa"/>
            <w:vAlign w:val="center"/>
          </w:tcPr>
          <w:p w:rsidR="005F284F" w:rsidRDefault="00A9129C">
            <w:pPr>
              <w:jc w:val="center"/>
              <w:rPr>
                <w:bCs/>
                <w:color w:val="000000"/>
                <w:sz w:val="24"/>
                <w:shd w:val="clear" w:color="auto" w:fill="FFFFFF"/>
              </w:rPr>
            </w:pPr>
            <w:r>
              <w:rPr>
                <w:rFonts w:hint="eastAsia"/>
                <w:bCs/>
                <w:color w:val="000000"/>
                <w:sz w:val="24"/>
                <w:shd w:val="clear" w:color="auto" w:fill="FFFFFF"/>
              </w:rPr>
              <w:t>扣除非经常性损益后净利润</w:t>
            </w:r>
          </w:p>
        </w:tc>
        <w:tc>
          <w:tcPr>
            <w:tcW w:w="2102" w:type="dxa"/>
            <w:vAlign w:val="center"/>
          </w:tcPr>
          <w:p w:rsidR="005F284F" w:rsidRPr="00992668" w:rsidRDefault="00A9129C" w:rsidP="000F7ABA">
            <w:pPr>
              <w:jc w:val="right"/>
              <w:rPr>
                <w:bCs/>
                <w:color w:val="000000"/>
                <w:sz w:val="24"/>
                <w:highlight w:val="yellow"/>
                <w:shd w:val="clear" w:color="auto" w:fill="FFFFFF"/>
              </w:rPr>
            </w:pPr>
            <w:r w:rsidRPr="000F7ABA">
              <w:rPr>
                <w:bCs/>
                <w:color w:val="000000"/>
                <w:sz w:val="24"/>
                <w:shd w:val="clear" w:color="auto" w:fill="FFFFFF"/>
              </w:rPr>
              <w:t>-</w:t>
            </w:r>
            <w:r w:rsidR="000F7ABA" w:rsidRPr="000F7ABA">
              <w:rPr>
                <w:bCs/>
                <w:color w:val="000000"/>
                <w:sz w:val="24"/>
                <w:shd w:val="clear" w:color="auto" w:fill="FFFFFF"/>
              </w:rPr>
              <w:t>4</w:t>
            </w:r>
            <w:r w:rsidRPr="000F7ABA">
              <w:rPr>
                <w:bCs/>
                <w:color w:val="000000"/>
                <w:sz w:val="24"/>
                <w:shd w:val="clear" w:color="auto" w:fill="FFFFFF"/>
              </w:rPr>
              <w:t>,</w:t>
            </w:r>
            <w:r w:rsidR="000F7ABA" w:rsidRPr="000F7ABA">
              <w:rPr>
                <w:bCs/>
                <w:color w:val="000000"/>
                <w:sz w:val="24"/>
                <w:shd w:val="clear" w:color="auto" w:fill="FFFFFF"/>
              </w:rPr>
              <w:t>980</w:t>
            </w:r>
            <w:r w:rsidRPr="000F7ABA">
              <w:rPr>
                <w:bCs/>
                <w:color w:val="000000"/>
                <w:sz w:val="24"/>
                <w:shd w:val="clear" w:color="auto" w:fill="FFFFFF"/>
              </w:rPr>
              <w:t>.</w:t>
            </w:r>
            <w:r w:rsidR="000F7ABA" w:rsidRPr="000F7ABA">
              <w:rPr>
                <w:bCs/>
                <w:color w:val="000000"/>
                <w:sz w:val="24"/>
                <w:shd w:val="clear" w:color="auto" w:fill="FFFFFF"/>
              </w:rPr>
              <w:t>13</w:t>
            </w:r>
          </w:p>
        </w:tc>
        <w:tc>
          <w:tcPr>
            <w:tcW w:w="2104" w:type="dxa"/>
            <w:vAlign w:val="center"/>
          </w:tcPr>
          <w:p w:rsidR="005F284F" w:rsidRPr="00061000" w:rsidRDefault="00F9238D" w:rsidP="00F9238D">
            <w:pPr>
              <w:jc w:val="right"/>
              <w:rPr>
                <w:bCs/>
                <w:color w:val="000000"/>
                <w:sz w:val="24"/>
                <w:highlight w:val="yellow"/>
                <w:shd w:val="clear" w:color="auto" w:fill="FFFFFF"/>
              </w:rPr>
            </w:pPr>
            <w:r>
              <w:rPr>
                <w:bCs/>
                <w:color w:val="000000"/>
                <w:sz w:val="24"/>
                <w:shd w:val="clear" w:color="auto" w:fill="FFFFFF"/>
              </w:rPr>
              <w:t>8,900.79</w:t>
            </w:r>
          </w:p>
        </w:tc>
      </w:tr>
    </w:tbl>
    <w:p w:rsidR="005F284F" w:rsidRDefault="00A9129C">
      <w:pPr>
        <w:widowControl/>
        <w:adjustRightInd w:val="0"/>
        <w:snapToGrid w:val="0"/>
        <w:spacing w:line="600" w:lineRule="exact"/>
        <w:ind w:firstLineChars="200" w:firstLine="560"/>
        <w:rPr>
          <w:rFonts w:ascii="宋体" w:hAnsi="宋体"/>
          <w:sz w:val="28"/>
          <w:szCs w:val="28"/>
          <w:highlight w:val="yellow"/>
        </w:rPr>
      </w:pPr>
      <w:r>
        <w:rPr>
          <w:rFonts w:ascii="宋体" w:hAnsi="宋体" w:hint="eastAsia"/>
          <w:sz w:val="28"/>
          <w:szCs w:val="28"/>
        </w:rPr>
        <w:t>经核查，深圳市有方科技股份有限公司不属于失信被执行人。</w:t>
      </w:r>
    </w:p>
    <w:p w:rsidR="005F284F" w:rsidRDefault="00A9129C">
      <w:pPr>
        <w:widowControl/>
        <w:adjustRightInd w:val="0"/>
        <w:snapToGrid w:val="0"/>
        <w:spacing w:line="600" w:lineRule="exact"/>
        <w:ind w:firstLineChars="200" w:firstLine="562"/>
        <w:rPr>
          <w:rFonts w:ascii="宋体" w:hAnsi="宋体"/>
          <w:b/>
          <w:sz w:val="28"/>
          <w:szCs w:val="28"/>
        </w:rPr>
      </w:pPr>
      <w:r w:rsidRPr="00EE4E55">
        <w:rPr>
          <w:rFonts w:ascii="宋体" w:hAnsi="宋体" w:hint="eastAsia"/>
          <w:b/>
          <w:sz w:val="28"/>
          <w:szCs w:val="28"/>
        </w:rPr>
        <w:t>三、担保协议的主要内容</w:t>
      </w:r>
    </w:p>
    <w:p w:rsidR="00EF05A7" w:rsidRDefault="00A9129C" w:rsidP="00EE4E55">
      <w:pPr>
        <w:widowControl/>
        <w:adjustRightInd w:val="0"/>
        <w:snapToGrid w:val="0"/>
        <w:spacing w:line="600" w:lineRule="exact"/>
        <w:ind w:firstLine="600"/>
        <w:rPr>
          <w:rFonts w:ascii="宋体" w:hAnsi="宋体"/>
          <w:sz w:val="28"/>
          <w:szCs w:val="28"/>
        </w:rPr>
      </w:pPr>
      <w:r>
        <w:rPr>
          <w:rFonts w:ascii="宋体" w:hAnsi="宋体" w:hint="eastAsia"/>
          <w:sz w:val="28"/>
          <w:szCs w:val="28"/>
        </w:rPr>
        <w:t>（一）保证范围：</w:t>
      </w:r>
    </w:p>
    <w:p w:rsidR="00EE4E55" w:rsidRPr="00EE4E55" w:rsidRDefault="00FC0AA8" w:rsidP="00EE4E55">
      <w:pPr>
        <w:widowControl/>
        <w:adjustRightInd w:val="0"/>
        <w:snapToGrid w:val="0"/>
        <w:spacing w:line="600" w:lineRule="exact"/>
        <w:ind w:firstLine="600"/>
        <w:rPr>
          <w:rFonts w:ascii="宋体" w:hAnsi="宋体"/>
          <w:sz w:val="28"/>
          <w:szCs w:val="28"/>
        </w:rPr>
      </w:pPr>
      <w:r>
        <w:rPr>
          <w:rFonts w:ascii="宋体" w:hAnsi="宋体" w:hint="eastAsia"/>
          <w:sz w:val="28"/>
          <w:szCs w:val="28"/>
        </w:rPr>
        <w:t>1</w:t>
      </w:r>
      <w:r w:rsidR="00EE4E55" w:rsidRPr="00EE4E55">
        <w:rPr>
          <w:rFonts w:ascii="宋体" w:hAnsi="宋体" w:hint="eastAsia"/>
          <w:sz w:val="28"/>
          <w:szCs w:val="28"/>
        </w:rPr>
        <w:t>、本合同所担保的债权为债权人依据主合同约定为债务人提供各项借款、融资、担保及其他表内外金融业务而对债务人形成的金部债权，包括但不限于债权本金、利息（含罚息、复利）、违约金、损害赔偿金、债权人实现债权的费用等。</w:t>
      </w:r>
    </w:p>
    <w:p w:rsidR="00EE4E55" w:rsidRPr="00EE4E55" w:rsidRDefault="00FC0AA8" w:rsidP="00EE4E55">
      <w:pPr>
        <w:widowControl/>
        <w:adjustRightInd w:val="0"/>
        <w:snapToGrid w:val="0"/>
        <w:spacing w:line="600" w:lineRule="exact"/>
        <w:ind w:firstLine="600"/>
        <w:rPr>
          <w:rFonts w:ascii="宋体" w:hAnsi="宋体"/>
          <w:sz w:val="28"/>
          <w:szCs w:val="28"/>
        </w:rPr>
      </w:pPr>
      <w:r>
        <w:rPr>
          <w:rFonts w:ascii="宋体" w:hAnsi="宋体" w:hint="eastAsia"/>
          <w:sz w:val="28"/>
          <w:szCs w:val="28"/>
        </w:rPr>
        <w:t>2</w:t>
      </w:r>
      <w:r w:rsidR="00EE4E55" w:rsidRPr="00EE4E55">
        <w:rPr>
          <w:rFonts w:ascii="宋体" w:hAnsi="宋体" w:hint="eastAsia"/>
          <w:sz w:val="28"/>
          <w:szCs w:val="28"/>
        </w:rPr>
        <w:t>、本合同保证额度起算前债权人对债务人已经存在的、本合同双方同意转入本合同约定的最高额保证担保的债权。</w:t>
      </w:r>
    </w:p>
    <w:p w:rsidR="00EE4E55" w:rsidRPr="00EE4E55" w:rsidRDefault="00FC0AA8" w:rsidP="00EE4E55">
      <w:pPr>
        <w:widowControl/>
        <w:adjustRightInd w:val="0"/>
        <w:snapToGrid w:val="0"/>
        <w:spacing w:line="600" w:lineRule="exact"/>
        <w:ind w:firstLine="600"/>
        <w:rPr>
          <w:rFonts w:ascii="宋体" w:hAnsi="宋体"/>
          <w:sz w:val="28"/>
          <w:szCs w:val="28"/>
        </w:rPr>
      </w:pPr>
      <w:r>
        <w:rPr>
          <w:rFonts w:ascii="宋体" w:hAnsi="宋体" w:hint="eastAsia"/>
          <w:sz w:val="28"/>
          <w:szCs w:val="28"/>
        </w:rPr>
        <w:t>3</w:t>
      </w:r>
      <w:r w:rsidR="00EE4E55" w:rsidRPr="00EE4E55">
        <w:rPr>
          <w:rFonts w:ascii="宋体" w:hAnsi="宋体" w:hint="eastAsia"/>
          <w:sz w:val="28"/>
          <w:szCs w:val="28"/>
        </w:rPr>
        <w:t>、在保证额度有效期内债权人为债务人办理的贸易融资、承兑、票据回购、担保等融资业务，在保证额度有效期后才因债务人拒付、债权人垫款等行为而发生的债权人对债务人的债权也构成被担保债权的一部分。</w:t>
      </w:r>
    </w:p>
    <w:p w:rsidR="00EE4E55" w:rsidRPr="00EE4E55" w:rsidRDefault="00FC0AA8" w:rsidP="00EE4E55">
      <w:pPr>
        <w:widowControl/>
        <w:adjustRightInd w:val="0"/>
        <w:snapToGrid w:val="0"/>
        <w:spacing w:line="600" w:lineRule="exact"/>
        <w:ind w:firstLine="600"/>
        <w:rPr>
          <w:rFonts w:ascii="宋体" w:hAnsi="宋体"/>
          <w:sz w:val="28"/>
          <w:szCs w:val="28"/>
        </w:rPr>
      </w:pPr>
      <w:r>
        <w:rPr>
          <w:rFonts w:ascii="宋体" w:hAnsi="宋体" w:hint="eastAsia"/>
          <w:sz w:val="28"/>
          <w:szCs w:val="28"/>
        </w:rPr>
        <w:t>4</w:t>
      </w:r>
      <w:r w:rsidR="00EE4E55" w:rsidRPr="00EE4E55">
        <w:rPr>
          <w:rFonts w:ascii="宋体" w:hAnsi="宋体" w:hint="eastAsia"/>
          <w:sz w:val="28"/>
          <w:szCs w:val="28"/>
        </w:rPr>
        <w:t>、债权人因债务人办理主合同项下各项融资、担保及其他表内外各项金融业务而享有的每笔债权的本金、利息、其他费用、履行期限、用途、当事人的权利义务以及任何其他相关事项以主合同项下的相关协议、合同、申请书、通知书、各类凭证以及其他相关法律文件的记载为准，且该相关协议、合同、申请书、通知书、各类凭证以及其他相关法律文件的签发或签署无需保证人确认。</w:t>
      </w:r>
    </w:p>
    <w:p w:rsidR="005F284F" w:rsidRPr="00F35B15" w:rsidRDefault="00FC0AA8" w:rsidP="00EE4E55">
      <w:pPr>
        <w:widowControl/>
        <w:adjustRightInd w:val="0"/>
        <w:snapToGrid w:val="0"/>
        <w:spacing w:line="600" w:lineRule="exact"/>
        <w:ind w:firstLine="600"/>
        <w:rPr>
          <w:rFonts w:ascii="宋体" w:hAnsi="宋体"/>
          <w:sz w:val="28"/>
          <w:szCs w:val="28"/>
        </w:rPr>
      </w:pPr>
      <w:r>
        <w:rPr>
          <w:rFonts w:ascii="宋体" w:hAnsi="宋体" w:hint="eastAsia"/>
          <w:sz w:val="28"/>
          <w:szCs w:val="28"/>
        </w:rPr>
        <w:lastRenderedPageBreak/>
        <w:t>5</w:t>
      </w:r>
      <w:r w:rsidR="00EE4E55" w:rsidRPr="00EE4E55">
        <w:rPr>
          <w:rFonts w:ascii="宋体" w:hAnsi="宋体" w:hint="eastAsia"/>
          <w:sz w:val="28"/>
          <w:szCs w:val="28"/>
        </w:rPr>
        <w:t>、为避免歧义，债权人因准备、完善、履行或强制执行本合同或行使本合同项下的权利或与之有关而发生的所有费用和支出（包括但不限于律师费用、诉讼（仲裁）费、向公证机构申请出具执行证书的费用等）均构成被担保债权的一部分</w:t>
      </w:r>
      <w:r w:rsidR="00253051" w:rsidRPr="00253051">
        <w:rPr>
          <w:rFonts w:ascii="宋体" w:hAnsi="宋体" w:hint="eastAsia"/>
          <w:sz w:val="28"/>
          <w:szCs w:val="28"/>
        </w:rPr>
        <w:t>。</w:t>
      </w:r>
    </w:p>
    <w:p w:rsidR="00EE4E55" w:rsidRDefault="00A9129C" w:rsidP="00EE4E55">
      <w:pPr>
        <w:widowControl/>
        <w:adjustRightInd w:val="0"/>
        <w:snapToGrid w:val="0"/>
        <w:spacing w:line="600" w:lineRule="exact"/>
        <w:ind w:firstLine="600"/>
        <w:rPr>
          <w:rFonts w:ascii="宋体" w:hAnsi="宋体"/>
          <w:bCs/>
          <w:sz w:val="28"/>
          <w:szCs w:val="28"/>
        </w:rPr>
      </w:pPr>
      <w:r>
        <w:rPr>
          <w:rFonts w:ascii="宋体" w:hAnsi="宋体" w:hint="eastAsia"/>
          <w:bCs/>
          <w:sz w:val="28"/>
          <w:szCs w:val="28"/>
        </w:rPr>
        <w:t>（二）保证期间：</w:t>
      </w:r>
    </w:p>
    <w:p w:rsidR="00EE4E55" w:rsidRPr="00EE4E55" w:rsidRDefault="00FC0AA8" w:rsidP="00EE4E55">
      <w:pPr>
        <w:widowControl/>
        <w:adjustRightInd w:val="0"/>
        <w:snapToGrid w:val="0"/>
        <w:spacing w:line="600" w:lineRule="exact"/>
        <w:ind w:firstLine="600"/>
        <w:rPr>
          <w:rFonts w:ascii="宋体" w:hAnsi="宋体"/>
          <w:bCs/>
          <w:sz w:val="28"/>
          <w:szCs w:val="28"/>
        </w:rPr>
      </w:pPr>
      <w:r>
        <w:rPr>
          <w:rFonts w:ascii="宋体" w:hAnsi="宋体" w:hint="eastAsia"/>
          <w:bCs/>
          <w:sz w:val="28"/>
          <w:szCs w:val="28"/>
        </w:rPr>
        <w:t>1</w:t>
      </w:r>
      <w:r w:rsidR="00EE4E55" w:rsidRPr="00EE4E55">
        <w:rPr>
          <w:rFonts w:ascii="宋体" w:hAnsi="宋体" w:hint="eastAsia"/>
          <w:bCs/>
          <w:sz w:val="28"/>
          <w:szCs w:val="28"/>
        </w:rPr>
        <w:t>、保证期间根据主合同项下债权人对债务人所提供的每笔融资分别计算，就每笔融资而言，保证期间为该笔融资项下债务履行期限届满之日起三年。</w:t>
      </w:r>
    </w:p>
    <w:p w:rsidR="00EE4E55" w:rsidRPr="00EE4E55" w:rsidRDefault="00FC0AA8" w:rsidP="00EE4E55">
      <w:pPr>
        <w:widowControl/>
        <w:adjustRightInd w:val="0"/>
        <w:snapToGrid w:val="0"/>
        <w:spacing w:line="600" w:lineRule="exact"/>
        <w:ind w:firstLine="600"/>
        <w:rPr>
          <w:rFonts w:ascii="宋体" w:hAnsi="宋体"/>
          <w:bCs/>
          <w:sz w:val="28"/>
          <w:szCs w:val="28"/>
        </w:rPr>
      </w:pPr>
      <w:r>
        <w:rPr>
          <w:rFonts w:ascii="宋体" w:hAnsi="宋体" w:hint="eastAsia"/>
          <w:bCs/>
          <w:sz w:val="28"/>
          <w:szCs w:val="28"/>
        </w:rPr>
        <w:t>2</w:t>
      </w:r>
      <w:r w:rsidR="00EE4E55" w:rsidRPr="00EE4E55">
        <w:rPr>
          <w:rFonts w:ascii="宋体" w:hAnsi="宋体" w:hint="eastAsia"/>
          <w:bCs/>
          <w:sz w:val="28"/>
          <w:szCs w:val="28"/>
        </w:rPr>
        <w:t>、如单笔主合同确定的融资分批到期的，每批债务的保证期间为每批融资履行期限届满之日起三年。</w:t>
      </w:r>
    </w:p>
    <w:p w:rsidR="00EE4E55" w:rsidRPr="00EE4E55" w:rsidRDefault="00FC0AA8" w:rsidP="00EE4E55">
      <w:pPr>
        <w:widowControl/>
        <w:adjustRightInd w:val="0"/>
        <w:snapToGrid w:val="0"/>
        <w:spacing w:line="600" w:lineRule="exact"/>
        <w:ind w:firstLine="600"/>
        <w:rPr>
          <w:rFonts w:ascii="宋体" w:hAnsi="宋体"/>
          <w:bCs/>
          <w:sz w:val="28"/>
          <w:szCs w:val="28"/>
        </w:rPr>
      </w:pPr>
      <w:r>
        <w:rPr>
          <w:rFonts w:ascii="宋体" w:hAnsi="宋体" w:hint="eastAsia"/>
          <w:bCs/>
          <w:sz w:val="28"/>
          <w:szCs w:val="28"/>
        </w:rPr>
        <w:t>3</w:t>
      </w:r>
      <w:r w:rsidR="00EE4E55" w:rsidRPr="00EE4E55">
        <w:rPr>
          <w:rFonts w:ascii="宋体" w:hAnsi="宋体" w:hint="eastAsia"/>
          <w:bCs/>
          <w:sz w:val="28"/>
          <w:szCs w:val="28"/>
        </w:rPr>
        <w:t>、如主债权为分期偿还的，每期债权保证期间也分期计算，保证期间为每期债权到期之日起三年。</w:t>
      </w:r>
    </w:p>
    <w:p w:rsidR="00EE4E55" w:rsidRPr="00EE4E55" w:rsidRDefault="00FC0AA8" w:rsidP="00EE4E55">
      <w:pPr>
        <w:widowControl/>
        <w:adjustRightInd w:val="0"/>
        <w:snapToGrid w:val="0"/>
        <w:spacing w:line="600" w:lineRule="exact"/>
        <w:ind w:firstLine="600"/>
        <w:rPr>
          <w:rFonts w:ascii="宋体" w:hAnsi="宋体"/>
          <w:bCs/>
          <w:sz w:val="28"/>
          <w:szCs w:val="28"/>
        </w:rPr>
      </w:pPr>
      <w:r>
        <w:rPr>
          <w:rFonts w:ascii="宋体" w:hAnsi="宋体" w:hint="eastAsia"/>
          <w:bCs/>
          <w:sz w:val="28"/>
          <w:szCs w:val="28"/>
        </w:rPr>
        <w:t>4</w:t>
      </w:r>
      <w:r w:rsidR="00EE4E55" w:rsidRPr="00EE4E55">
        <w:rPr>
          <w:rFonts w:ascii="宋体" w:hAnsi="宋体" w:hint="eastAsia"/>
          <w:bCs/>
          <w:sz w:val="28"/>
          <w:szCs w:val="28"/>
        </w:rPr>
        <w:t>、如债权人与债务人就主合同项下任何一笔融资达成展期协议的，保证人在此不可撤销地表示认可和同意该展期，保证人仍对主合同下的各笔融资按本合同约定承担连带保证责任。就每笔展期的融资而言，保证期间为展期协议重新约定的债务履行期限届满之日起三年。</w:t>
      </w:r>
    </w:p>
    <w:p w:rsidR="00EE4E55" w:rsidRPr="00EE4E55" w:rsidRDefault="00FC0AA8" w:rsidP="00EE4E55">
      <w:pPr>
        <w:widowControl/>
        <w:adjustRightInd w:val="0"/>
        <w:snapToGrid w:val="0"/>
        <w:spacing w:line="600" w:lineRule="exact"/>
        <w:ind w:firstLine="600"/>
        <w:rPr>
          <w:rFonts w:ascii="宋体" w:hAnsi="宋体"/>
          <w:bCs/>
          <w:sz w:val="28"/>
          <w:szCs w:val="28"/>
        </w:rPr>
      </w:pPr>
      <w:r>
        <w:rPr>
          <w:rFonts w:ascii="宋体" w:hAnsi="宋体" w:hint="eastAsia"/>
          <w:bCs/>
          <w:sz w:val="28"/>
          <w:szCs w:val="28"/>
        </w:rPr>
        <w:t>5</w:t>
      </w:r>
      <w:r w:rsidR="00EE4E55" w:rsidRPr="00EE4E55">
        <w:rPr>
          <w:rFonts w:ascii="宋体" w:hAnsi="宋体" w:hint="eastAsia"/>
          <w:bCs/>
          <w:sz w:val="28"/>
          <w:szCs w:val="28"/>
        </w:rPr>
        <w:t>、若债权人根据法律法规规定或主合同的约定宣布债务提前到期的，则保证期间为债权人向债务人通知的债务履行期限届满之日起三年。</w:t>
      </w:r>
    </w:p>
    <w:p w:rsidR="00EE4E55" w:rsidRPr="00EE4E55" w:rsidRDefault="00FC0AA8" w:rsidP="00EE4E55">
      <w:pPr>
        <w:widowControl/>
        <w:adjustRightInd w:val="0"/>
        <w:snapToGrid w:val="0"/>
        <w:spacing w:line="600" w:lineRule="exact"/>
        <w:ind w:firstLine="600"/>
        <w:rPr>
          <w:rFonts w:ascii="宋体" w:hAnsi="宋体"/>
          <w:bCs/>
          <w:sz w:val="28"/>
          <w:szCs w:val="28"/>
        </w:rPr>
      </w:pPr>
      <w:r>
        <w:rPr>
          <w:rFonts w:ascii="宋体" w:hAnsi="宋体" w:hint="eastAsia"/>
          <w:bCs/>
          <w:sz w:val="28"/>
          <w:szCs w:val="28"/>
        </w:rPr>
        <w:t>6</w:t>
      </w:r>
      <w:r w:rsidR="00EE4E55" w:rsidRPr="00EE4E55">
        <w:rPr>
          <w:rFonts w:ascii="宋体" w:hAnsi="宋体" w:hint="eastAsia"/>
          <w:bCs/>
          <w:sz w:val="28"/>
          <w:szCs w:val="28"/>
        </w:rPr>
        <w:t xml:space="preserve">、银行承兑汇票承兑、信用证和保函项下的保证期间为债权人垫付款项之日起三年，分次垫款的，保证期间从每笔垫款之日起分别计算。 </w:t>
      </w:r>
    </w:p>
    <w:p w:rsidR="00EE4E55" w:rsidRPr="00EE4E55" w:rsidRDefault="00FC0AA8" w:rsidP="00EE4E55">
      <w:pPr>
        <w:widowControl/>
        <w:adjustRightInd w:val="0"/>
        <w:snapToGrid w:val="0"/>
        <w:spacing w:line="600" w:lineRule="exact"/>
        <w:ind w:firstLine="600"/>
        <w:rPr>
          <w:rFonts w:ascii="宋体" w:hAnsi="宋体"/>
          <w:bCs/>
          <w:sz w:val="28"/>
          <w:szCs w:val="28"/>
        </w:rPr>
      </w:pPr>
      <w:r>
        <w:rPr>
          <w:rFonts w:ascii="宋体" w:hAnsi="宋体" w:hint="eastAsia"/>
          <w:bCs/>
          <w:sz w:val="28"/>
          <w:szCs w:val="28"/>
        </w:rPr>
        <w:t>7</w:t>
      </w:r>
      <w:r w:rsidR="00EE4E55" w:rsidRPr="00EE4E55">
        <w:rPr>
          <w:rFonts w:ascii="宋体" w:hAnsi="宋体" w:hint="eastAsia"/>
          <w:bCs/>
          <w:sz w:val="28"/>
          <w:szCs w:val="28"/>
        </w:rPr>
        <w:t>、商业汇票贴现的保证期间为贴现票据到期之日起三年。</w:t>
      </w:r>
    </w:p>
    <w:p w:rsidR="005D1F04" w:rsidRDefault="00FC0AA8" w:rsidP="00EE4E55">
      <w:pPr>
        <w:widowControl/>
        <w:adjustRightInd w:val="0"/>
        <w:snapToGrid w:val="0"/>
        <w:spacing w:line="600" w:lineRule="exact"/>
        <w:ind w:firstLine="600"/>
        <w:rPr>
          <w:rFonts w:ascii="宋体" w:hAnsi="宋体"/>
          <w:bCs/>
          <w:sz w:val="28"/>
          <w:szCs w:val="28"/>
        </w:rPr>
      </w:pPr>
      <w:r>
        <w:rPr>
          <w:rFonts w:ascii="宋体" w:hAnsi="宋体" w:hint="eastAsia"/>
          <w:bCs/>
          <w:sz w:val="28"/>
          <w:szCs w:val="28"/>
        </w:rPr>
        <w:lastRenderedPageBreak/>
        <w:t>8</w:t>
      </w:r>
      <w:r w:rsidR="00EE4E55" w:rsidRPr="00EE4E55">
        <w:rPr>
          <w:rFonts w:ascii="宋体" w:hAnsi="宋体" w:hint="eastAsia"/>
          <w:bCs/>
          <w:sz w:val="28"/>
          <w:szCs w:val="28"/>
        </w:rPr>
        <w:t>、债权人为债务人提供的其他表</w:t>
      </w:r>
      <w:r w:rsidR="00EF05A7">
        <w:rPr>
          <w:rFonts w:ascii="宋体" w:hAnsi="宋体" w:hint="eastAsia"/>
          <w:bCs/>
          <w:sz w:val="28"/>
          <w:szCs w:val="28"/>
        </w:rPr>
        <w:t>内外各项金融业务，自该笔金融业务项下债务履行期限届满之日起三年</w:t>
      </w:r>
      <w:r w:rsidR="005D1F04" w:rsidRPr="005D1F04">
        <w:rPr>
          <w:rFonts w:ascii="宋体" w:hAnsi="宋体" w:hint="eastAsia"/>
          <w:bCs/>
          <w:sz w:val="28"/>
          <w:szCs w:val="28"/>
        </w:rPr>
        <w:t>。</w:t>
      </w:r>
    </w:p>
    <w:p w:rsidR="005F284F" w:rsidRPr="00564A84" w:rsidRDefault="00A9129C" w:rsidP="00F35B15">
      <w:pPr>
        <w:widowControl/>
        <w:adjustRightInd w:val="0"/>
        <w:snapToGrid w:val="0"/>
        <w:spacing w:line="600" w:lineRule="exact"/>
        <w:ind w:firstLine="600"/>
        <w:rPr>
          <w:rFonts w:ascii="宋体" w:hAnsi="宋体"/>
          <w:bCs/>
          <w:sz w:val="28"/>
          <w:szCs w:val="28"/>
        </w:rPr>
      </w:pPr>
      <w:r>
        <w:rPr>
          <w:rFonts w:ascii="宋体" w:hAnsi="宋体" w:hint="eastAsia"/>
          <w:bCs/>
          <w:sz w:val="28"/>
          <w:szCs w:val="28"/>
        </w:rPr>
        <w:t>（三）担保合同中的其他重要条款：</w:t>
      </w:r>
      <w:r w:rsidR="00EE4E55" w:rsidRPr="00EE4E55">
        <w:rPr>
          <w:rFonts w:ascii="宋体" w:hAnsi="宋体" w:hint="eastAsia"/>
          <w:bCs/>
          <w:sz w:val="28"/>
          <w:szCs w:val="28"/>
        </w:rPr>
        <w:t>凡因本合同发生的任何争议，保证人和债权人各方应通过友好协商解决</w:t>
      </w:r>
      <w:r w:rsidR="00EE4E55">
        <w:rPr>
          <w:rFonts w:ascii="宋体" w:hAnsi="宋体" w:hint="eastAsia"/>
          <w:bCs/>
          <w:sz w:val="28"/>
          <w:szCs w:val="28"/>
        </w:rPr>
        <w:t>。</w:t>
      </w:r>
      <w:r w:rsidR="00EE4E55" w:rsidRPr="00EE4E55">
        <w:rPr>
          <w:rFonts w:ascii="宋体" w:hAnsi="宋体" w:hint="eastAsia"/>
          <w:bCs/>
          <w:sz w:val="28"/>
          <w:szCs w:val="28"/>
        </w:rPr>
        <w:t>友好协商不成的向深圳国际仲裁院申请仲裁，适用该院在仲裁时有效的仲裁规则解决纠纷。该仲裁裁决是终局的，对双方均有约束力。仲裁庭的开庭地点选择在深圳市开庭</w:t>
      </w:r>
      <w:r w:rsidRPr="00564A84">
        <w:rPr>
          <w:rFonts w:ascii="宋体" w:hAnsi="宋体" w:hint="eastAsia"/>
          <w:bCs/>
          <w:sz w:val="28"/>
          <w:szCs w:val="28"/>
        </w:rPr>
        <w:t>。</w:t>
      </w:r>
    </w:p>
    <w:p w:rsidR="005F284F" w:rsidRDefault="00A9129C">
      <w:pPr>
        <w:widowControl/>
        <w:adjustRightInd w:val="0"/>
        <w:snapToGrid w:val="0"/>
        <w:spacing w:line="600" w:lineRule="exact"/>
        <w:ind w:firstLine="600"/>
        <w:rPr>
          <w:rFonts w:ascii="宋体" w:hAnsi="宋体"/>
          <w:sz w:val="28"/>
          <w:szCs w:val="28"/>
        </w:rPr>
      </w:pPr>
      <w:r>
        <w:rPr>
          <w:rFonts w:ascii="宋体" w:hAnsi="宋体" w:hint="eastAsia"/>
          <w:bCs/>
          <w:sz w:val="28"/>
          <w:szCs w:val="28"/>
        </w:rPr>
        <w:t>（四）具体担保金额、担保期限以及签约时间以实际签署的合同为准。公司管理层将根据实际经营情况的需要，在担保额度内办理具体事宜，同时由公司全资子公司法定代表人（或其书面授权代表）签署上述担保额度内的担保合同等各项法律文件。超出授权范围外的其他事项，公司将另行履行决策程序。</w:t>
      </w:r>
    </w:p>
    <w:p w:rsidR="005F284F" w:rsidRDefault="00A9129C">
      <w:pPr>
        <w:widowControl/>
        <w:spacing w:line="60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四、对上市公司的影响</w:t>
      </w:r>
    </w:p>
    <w:p w:rsidR="005F284F" w:rsidRDefault="00A9129C">
      <w:pPr>
        <w:tabs>
          <w:tab w:val="left" w:pos="540"/>
          <w:tab w:val="left" w:pos="900"/>
        </w:tabs>
        <w:adjustRightInd w:val="0"/>
        <w:snapToGrid w:val="0"/>
        <w:spacing w:line="600" w:lineRule="exact"/>
        <w:ind w:firstLineChars="200" w:firstLine="560"/>
        <w:rPr>
          <w:rFonts w:ascii="宋体" w:hAnsi="宋体"/>
          <w:sz w:val="28"/>
          <w:szCs w:val="28"/>
        </w:rPr>
      </w:pPr>
      <w:r>
        <w:rPr>
          <w:rFonts w:ascii="宋体" w:hAnsi="宋体" w:hint="eastAsia"/>
          <w:sz w:val="28"/>
          <w:szCs w:val="28"/>
        </w:rPr>
        <w:t>本次东莞有方为公司提供担保风险可控，有利于提升公司融资能力，保证公司正常的营运资金需求，满足公司经营发展需要，符合公司整体利益，不存在损害公司及股东特别是中小股东利益的情形，不会对公司的正常运作和业务发展造成不利影响。</w:t>
      </w:r>
    </w:p>
    <w:p w:rsidR="005F284F" w:rsidRDefault="00A9129C">
      <w:pPr>
        <w:tabs>
          <w:tab w:val="left" w:pos="540"/>
          <w:tab w:val="left" w:pos="900"/>
        </w:tabs>
        <w:adjustRightInd w:val="0"/>
        <w:snapToGrid w:val="0"/>
        <w:spacing w:line="600" w:lineRule="exact"/>
        <w:ind w:firstLineChars="200" w:firstLine="560"/>
        <w:rPr>
          <w:rFonts w:ascii="宋体" w:hAnsi="宋体"/>
          <w:bCs/>
          <w:sz w:val="28"/>
          <w:szCs w:val="28"/>
        </w:rPr>
      </w:pPr>
      <w:r>
        <w:rPr>
          <w:rFonts w:ascii="宋体" w:hAnsi="宋体" w:hint="eastAsia"/>
          <w:bCs/>
          <w:sz w:val="28"/>
          <w:szCs w:val="28"/>
        </w:rPr>
        <w:t>特此公告。</w:t>
      </w:r>
    </w:p>
    <w:p w:rsidR="005F284F" w:rsidRDefault="005F284F">
      <w:pPr>
        <w:tabs>
          <w:tab w:val="left" w:pos="540"/>
          <w:tab w:val="left" w:pos="900"/>
        </w:tabs>
        <w:adjustRightInd w:val="0"/>
        <w:snapToGrid w:val="0"/>
        <w:spacing w:line="600" w:lineRule="exact"/>
        <w:ind w:firstLineChars="200" w:firstLine="560"/>
        <w:rPr>
          <w:rFonts w:ascii="宋体" w:hAnsi="宋体"/>
          <w:color w:val="676767"/>
          <w:sz w:val="28"/>
          <w:szCs w:val="28"/>
        </w:rPr>
      </w:pPr>
    </w:p>
    <w:p w:rsidR="005F284F" w:rsidRDefault="00A9129C">
      <w:pPr>
        <w:adjustRightInd w:val="0"/>
        <w:snapToGrid w:val="0"/>
        <w:spacing w:line="600" w:lineRule="exact"/>
        <w:jc w:val="right"/>
        <w:rPr>
          <w:rFonts w:ascii="宋体" w:hAnsi="宋体"/>
          <w:bCs/>
          <w:sz w:val="28"/>
          <w:szCs w:val="28"/>
        </w:rPr>
      </w:pPr>
      <w:r>
        <w:rPr>
          <w:rFonts w:ascii="宋体" w:hAnsi="宋体" w:hint="eastAsia"/>
          <w:bCs/>
          <w:sz w:val="28"/>
          <w:szCs w:val="28"/>
        </w:rPr>
        <w:t>深圳市有方科技股份有限公司董事会</w:t>
      </w:r>
    </w:p>
    <w:p w:rsidR="005F284F" w:rsidRDefault="009512C1">
      <w:pPr>
        <w:adjustRightInd w:val="0"/>
        <w:snapToGrid w:val="0"/>
        <w:spacing w:line="600" w:lineRule="exact"/>
        <w:jc w:val="right"/>
      </w:pPr>
      <w:r>
        <w:rPr>
          <w:bCs/>
          <w:sz w:val="28"/>
          <w:szCs w:val="28"/>
        </w:rPr>
        <w:t>2025</w:t>
      </w:r>
      <w:r w:rsidR="00A9129C">
        <w:rPr>
          <w:rFonts w:ascii="宋体" w:hAnsi="宋体" w:hint="eastAsia"/>
          <w:bCs/>
          <w:sz w:val="28"/>
          <w:szCs w:val="28"/>
        </w:rPr>
        <w:t>年</w:t>
      </w:r>
      <w:r w:rsidR="00B045D2">
        <w:rPr>
          <w:bCs/>
          <w:sz w:val="28"/>
          <w:szCs w:val="28"/>
        </w:rPr>
        <w:t>1</w:t>
      </w:r>
      <w:r w:rsidR="00A9129C">
        <w:rPr>
          <w:rFonts w:ascii="宋体" w:hAnsi="宋体" w:hint="eastAsia"/>
          <w:bCs/>
          <w:sz w:val="28"/>
          <w:szCs w:val="28"/>
        </w:rPr>
        <w:t>月</w:t>
      </w:r>
      <w:r w:rsidR="00630C1A">
        <w:rPr>
          <w:bCs/>
          <w:sz w:val="28"/>
          <w:szCs w:val="28"/>
        </w:rPr>
        <w:t>2</w:t>
      </w:r>
      <w:r w:rsidR="00EE4E55">
        <w:rPr>
          <w:bCs/>
          <w:sz w:val="28"/>
          <w:szCs w:val="28"/>
        </w:rPr>
        <w:t>5</w:t>
      </w:r>
      <w:r w:rsidR="00A9129C">
        <w:rPr>
          <w:rFonts w:ascii="宋体" w:hAnsi="宋体" w:hint="eastAsia"/>
          <w:bCs/>
          <w:sz w:val="28"/>
          <w:szCs w:val="28"/>
        </w:rPr>
        <w:t>日</w:t>
      </w:r>
    </w:p>
    <w:sectPr w:rsidR="005F284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94D" w:rsidRDefault="007E494D">
      <w:r>
        <w:separator/>
      </w:r>
    </w:p>
  </w:endnote>
  <w:endnote w:type="continuationSeparator" w:id="0">
    <w:p w:rsidR="007E494D" w:rsidRDefault="007E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84F" w:rsidRDefault="00A9129C">
    <w:pPr>
      <w:pStyle w:val="a9"/>
      <w:jc w:val="center"/>
      <w:rPr>
        <w:sz w:val="21"/>
      </w:rPr>
    </w:pPr>
    <w:r>
      <w:rPr>
        <w:sz w:val="21"/>
      </w:rPr>
      <w:fldChar w:fldCharType="begin"/>
    </w:r>
    <w:r>
      <w:rPr>
        <w:sz w:val="21"/>
      </w:rPr>
      <w:instrText xml:space="preserve"> PAGE   \* MERGEFORMAT </w:instrText>
    </w:r>
    <w:r>
      <w:rPr>
        <w:sz w:val="21"/>
      </w:rPr>
      <w:fldChar w:fldCharType="separate"/>
    </w:r>
    <w:r w:rsidR="00DA4E73" w:rsidRPr="00DA4E73">
      <w:rPr>
        <w:noProof/>
        <w:sz w:val="21"/>
        <w:lang w:val="zh-CN"/>
      </w:rPr>
      <w:t>5</w:t>
    </w:r>
    <w:r>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94D" w:rsidRDefault="007E494D">
      <w:r>
        <w:separator/>
      </w:r>
    </w:p>
  </w:footnote>
  <w:footnote w:type="continuationSeparator" w:id="0">
    <w:p w:rsidR="007E494D" w:rsidRDefault="007E49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61B1C"/>
    <w:multiLevelType w:val="multilevel"/>
    <w:tmpl w:val="0C961B1C"/>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400"/>
        </w:tabs>
        <w:ind w:left="1400" w:hanging="420"/>
      </w:pPr>
      <w:rPr>
        <w:rFonts w:ascii="Wingdings" w:hAnsi="Wingdings" w:hint="default"/>
      </w:rPr>
    </w:lvl>
    <w:lvl w:ilvl="2">
      <w:start w:val="1"/>
      <w:numFmt w:val="bullet"/>
      <w:lvlText w:val=""/>
      <w:lvlJc w:val="left"/>
      <w:pPr>
        <w:tabs>
          <w:tab w:val="left" w:pos="1820"/>
        </w:tabs>
        <w:ind w:left="1820" w:hanging="420"/>
      </w:pPr>
      <w:rPr>
        <w:rFonts w:ascii="Wingdings" w:hAnsi="Wingdings" w:hint="default"/>
      </w:rPr>
    </w:lvl>
    <w:lvl w:ilvl="3">
      <w:start w:val="1"/>
      <w:numFmt w:val="bullet"/>
      <w:lvlText w:val=""/>
      <w:lvlJc w:val="left"/>
      <w:pPr>
        <w:tabs>
          <w:tab w:val="left" w:pos="2240"/>
        </w:tabs>
        <w:ind w:left="2240" w:hanging="420"/>
      </w:pPr>
      <w:rPr>
        <w:rFonts w:ascii="Wingdings" w:hAnsi="Wingdings" w:hint="default"/>
      </w:rPr>
    </w:lvl>
    <w:lvl w:ilvl="4">
      <w:start w:val="1"/>
      <w:numFmt w:val="bullet"/>
      <w:lvlText w:val=""/>
      <w:lvlJc w:val="left"/>
      <w:pPr>
        <w:tabs>
          <w:tab w:val="left" w:pos="2660"/>
        </w:tabs>
        <w:ind w:left="26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800FA3"/>
    <w:rsid w:val="B09EF503"/>
    <w:rsid w:val="00001A8C"/>
    <w:rsid w:val="0002346D"/>
    <w:rsid w:val="00061000"/>
    <w:rsid w:val="000C1FFA"/>
    <w:rsid w:val="000F7ABA"/>
    <w:rsid w:val="00123AE1"/>
    <w:rsid w:val="0013294C"/>
    <w:rsid w:val="00137D09"/>
    <w:rsid w:val="00145D2F"/>
    <w:rsid w:val="00165E0B"/>
    <w:rsid w:val="001B1689"/>
    <w:rsid w:val="001C3682"/>
    <w:rsid w:val="001D57B4"/>
    <w:rsid w:val="00253051"/>
    <w:rsid w:val="00262526"/>
    <w:rsid w:val="002F2932"/>
    <w:rsid w:val="00352E47"/>
    <w:rsid w:val="003844C4"/>
    <w:rsid w:val="00387A5C"/>
    <w:rsid w:val="003978FD"/>
    <w:rsid w:val="003A2811"/>
    <w:rsid w:val="003C76A3"/>
    <w:rsid w:val="003D10A3"/>
    <w:rsid w:val="00467D40"/>
    <w:rsid w:val="004E0BF0"/>
    <w:rsid w:val="00564A84"/>
    <w:rsid w:val="005662DC"/>
    <w:rsid w:val="005A4EDB"/>
    <w:rsid w:val="005D1F04"/>
    <w:rsid w:val="005F284F"/>
    <w:rsid w:val="005F6119"/>
    <w:rsid w:val="00630C1A"/>
    <w:rsid w:val="006408AA"/>
    <w:rsid w:val="0064100B"/>
    <w:rsid w:val="00641483"/>
    <w:rsid w:val="006F791D"/>
    <w:rsid w:val="00714B2A"/>
    <w:rsid w:val="00785457"/>
    <w:rsid w:val="007B3C7B"/>
    <w:rsid w:val="007E3042"/>
    <w:rsid w:val="007E494D"/>
    <w:rsid w:val="00800FA3"/>
    <w:rsid w:val="00823977"/>
    <w:rsid w:val="008A4573"/>
    <w:rsid w:val="008D1DD6"/>
    <w:rsid w:val="008D60FA"/>
    <w:rsid w:val="009512C1"/>
    <w:rsid w:val="00992668"/>
    <w:rsid w:val="00A14C34"/>
    <w:rsid w:val="00A40A8A"/>
    <w:rsid w:val="00A539F1"/>
    <w:rsid w:val="00A72BF1"/>
    <w:rsid w:val="00A9129C"/>
    <w:rsid w:val="00AB7F74"/>
    <w:rsid w:val="00AF3985"/>
    <w:rsid w:val="00B045D2"/>
    <w:rsid w:val="00B12727"/>
    <w:rsid w:val="00B14D18"/>
    <w:rsid w:val="00B25599"/>
    <w:rsid w:val="00B84817"/>
    <w:rsid w:val="00B85444"/>
    <w:rsid w:val="00BB1913"/>
    <w:rsid w:val="00BB5307"/>
    <w:rsid w:val="00BB5F14"/>
    <w:rsid w:val="00BF3C2D"/>
    <w:rsid w:val="00C703DA"/>
    <w:rsid w:val="00C92242"/>
    <w:rsid w:val="00CF7D16"/>
    <w:rsid w:val="00D0714B"/>
    <w:rsid w:val="00D07FF7"/>
    <w:rsid w:val="00D51741"/>
    <w:rsid w:val="00D544C2"/>
    <w:rsid w:val="00D95B02"/>
    <w:rsid w:val="00DA4E73"/>
    <w:rsid w:val="00E122B9"/>
    <w:rsid w:val="00E22833"/>
    <w:rsid w:val="00ED05DB"/>
    <w:rsid w:val="00ED727D"/>
    <w:rsid w:val="00EE4E55"/>
    <w:rsid w:val="00EF05A7"/>
    <w:rsid w:val="00F04692"/>
    <w:rsid w:val="00F35B15"/>
    <w:rsid w:val="00F9238D"/>
    <w:rsid w:val="00FA7547"/>
    <w:rsid w:val="00FC0AA8"/>
    <w:rsid w:val="01AA3534"/>
    <w:rsid w:val="170D2DDF"/>
    <w:rsid w:val="37553192"/>
    <w:rsid w:val="540F4A9E"/>
    <w:rsid w:val="59955299"/>
    <w:rsid w:val="6BFC8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92BC29-B91F-45A4-AB45-12F15FFF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等线"/>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rPr>
      <w:rFonts w:ascii="宋体"/>
      <w:sz w:val="18"/>
      <w:szCs w:val="18"/>
    </w:rPr>
  </w:style>
  <w:style w:type="paragraph" w:styleId="a4">
    <w:name w:val="annotation text"/>
    <w:basedOn w:val="a"/>
    <w:link w:val="Char0"/>
    <w:qFormat/>
    <w:pPr>
      <w:jc w:val="left"/>
    </w:pPr>
  </w:style>
  <w:style w:type="paragraph" w:styleId="a5">
    <w:name w:val="Body Text"/>
    <w:basedOn w:val="a"/>
    <w:link w:val="Char1"/>
    <w:qFormat/>
    <w:pPr>
      <w:spacing w:after="120"/>
    </w:pPr>
  </w:style>
  <w:style w:type="paragraph" w:styleId="a6">
    <w:name w:val="Body Text Indent"/>
    <w:basedOn w:val="a"/>
    <w:link w:val="Char2"/>
    <w:qFormat/>
    <w:pPr>
      <w:spacing w:after="120"/>
      <w:ind w:leftChars="200" w:left="420"/>
    </w:pPr>
  </w:style>
  <w:style w:type="paragraph" w:styleId="30">
    <w:name w:val="toc 3"/>
    <w:basedOn w:val="a"/>
    <w:next w:val="a"/>
    <w:uiPriority w:val="39"/>
    <w:qFormat/>
    <w:pPr>
      <w:ind w:leftChars="400" w:left="840"/>
    </w:pPr>
  </w:style>
  <w:style w:type="paragraph" w:styleId="a7">
    <w:name w:val="Date"/>
    <w:basedOn w:val="a"/>
    <w:next w:val="a"/>
    <w:link w:val="Char3"/>
    <w:qFormat/>
    <w:pPr>
      <w:ind w:leftChars="2500" w:left="100"/>
    </w:pPr>
  </w:style>
  <w:style w:type="paragraph" w:styleId="2">
    <w:name w:val="Body Text Indent 2"/>
    <w:basedOn w:val="a"/>
    <w:link w:val="2Char"/>
    <w:pPr>
      <w:spacing w:line="600" w:lineRule="exact"/>
      <w:ind w:firstLineChars="200" w:firstLine="600"/>
    </w:pPr>
    <w:rPr>
      <w:rFonts w:ascii="仿宋_GB2312" w:eastAsia="仿宋_GB2312" w:hAnsi="宋体"/>
      <w:sz w:val="30"/>
      <w:szCs w:val="30"/>
    </w:rPr>
  </w:style>
  <w:style w:type="paragraph" w:styleId="a8">
    <w:name w:val="Balloon Text"/>
    <w:basedOn w:val="a"/>
    <w:link w:val="Char4"/>
    <w:qFormat/>
    <w:rPr>
      <w:sz w:val="18"/>
      <w:szCs w:val="18"/>
    </w:rPr>
  </w:style>
  <w:style w:type="paragraph" w:styleId="a9">
    <w:name w:val="footer"/>
    <w:basedOn w:val="a"/>
    <w:link w:val="Char5"/>
    <w:uiPriority w:val="99"/>
    <w:qFormat/>
    <w:pPr>
      <w:tabs>
        <w:tab w:val="center" w:pos="4153"/>
        <w:tab w:val="right" w:pos="8306"/>
      </w:tabs>
      <w:snapToGrid w:val="0"/>
      <w:jc w:val="left"/>
    </w:pPr>
    <w:rPr>
      <w:sz w:val="18"/>
      <w:szCs w:val="18"/>
    </w:rPr>
  </w:style>
  <w:style w:type="paragraph" w:styleId="aa">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302"/>
      </w:tabs>
      <w:spacing w:line="360" w:lineRule="auto"/>
    </w:pPr>
  </w:style>
  <w:style w:type="paragraph" w:styleId="31">
    <w:name w:val="Body Text Indent 3"/>
    <w:basedOn w:val="a"/>
    <w:link w:val="3Char0"/>
    <w:qFormat/>
    <w:pPr>
      <w:spacing w:after="120"/>
      <w:ind w:leftChars="200" w:left="420"/>
    </w:pPr>
    <w:rPr>
      <w:sz w:val="16"/>
      <w:szCs w:val="16"/>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pPr>
      <w:widowControl/>
      <w:spacing w:before="100" w:beforeAutospacing="1" w:after="100" w:afterAutospacing="1"/>
      <w:jc w:val="left"/>
    </w:pPr>
    <w:rPr>
      <w:rFonts w:ascii="宋体" w:hAnsi="宋体" w:cs="宋体"/>
      <w:kern w:val="0"/>
      <w:sz w:val="24"/>
    </w:rPr>
  </w:style>
  <w:style w:type="paragraph" w:styleId="ac">
    <w:name w:val="annotation subject"/>
    <w:basedOn w:val="a4"/>
    <w:next w:val="a4"/>
    <w:link w:val="Char7"/>
    <w:qFormat/>
    <w:rPr>
      <w:b/>
      <w:bCs/>
    </w:rPr>
  </w:style>
  <w:style w:type="table" w:styleId="ad">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0"/>
    <w:qFormat/>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customStyle="1" w:styleId="32">
    <w:name w:val="标题 3 字符"/>
    <w:basedOn w:val="a0"/>
    <w:uiPriority w:val="9"/>
    <w:qFormat/>
    <w:rPr>
      <w:rFonts w:ascii="Times New Roman" w:eastAsia="宋体" w:hAnsi="Times New Roman" w:cs="Times New Roman"/>
      <w:b/>
      <w:bCs/>
      <w:sz w:val="32"/>
      <w:szCs w:val="32"/>
    </w:rPr>
  </w:style>
  <w:style w:type="character" w:customStyle="1" w:styleId="11">
    <w:name w:val="标题 1 字符"/>
    <w:basedOn w:val="a0"/>
    <w:uiPriority w:val="9"/>
    <w:qFormat/>
    <w:rPr>
      <w:rFonts w:ascii="Times New Roman" w:eastAsia="宋体" w:hAnsi="Times New Roman" w:cs="Times New Roman"/>
      <w:b/>
      <w:bCs/>
      <w:kern w:val="44"/>
      <w:sz w:val="44"/>
      <w:szCs w:val="44"/>
    </w:rPr>
  </w:style>
  <w:style w:type="character" w:customStyle="1" w:styleId="af3">
    <w:name w:val="日期 字符"/>
    <w:basedOn w:val="a0"/>
    <w:uiPriority w:val="99"/>
    <w:qFormat/>
    <w:rPr>
      <w:rFonts w:ascii="Times New Roman" w:eastAsia="宋体" w:hAnsi="Times New Roman" w:cs="Times New Roman"/>
      <w:szCs w:val="24"/>
    </w:rPr>
  </w:style>
  <w:style w:type="character" w:customStyle="1" w:styleId="Char3">
    <w:name w:val="日期 Char"/>
    <w:link w:val="a7"/>
    <w:qFormat/>
    <w:rPr>
      <w:rFonts w:ascii="Times New Roman" w:eastAsia="宋体" w:hAnsi="Times New Roman" w:cs="Times New Roman"/>
      <w:szCs w:val="24"/>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af4">
    <w:name w:val="页脚 字符"/>
    <w:basedOn w:val="a0"/>
    <w:uiPriority w:val="99"/>
    <w:qFormat/>
    <w:rPr>
      <w:rFonts w:ascii="Times New Roman" w:eastAsia="宋体" w:hAnsi="Times New Roman" w:cs="Times New Roman"/>
      <w:sz w:val="18"/>
      <w:szCs w:val="18"/>
    </w:rPr>
  </w:style>
  <w:style w:type="character" w:customStyle="1" w:styleId="Char5">
    <w:name w:val="页脚 Char"/>
    <w:link w:val="a9"/>
    <w:uiPriority w:val="99"/>
    <w:qFormat/>
    <w:rPr>
      <w:rFonts w:ascii="Times New Roman" w:eastAsia="宋体" w:hAnsi="Times New Roman" w:cs="Times New Roman"/>
      <w:sz w:val="18"/>
      <w:szCs w:val="18"/>
    </w:rPr>
  </w:style>
  <w:style w:type="character" w:customStyle="1" w:styleId="20">
    <w:name w:val="正文文本缩进 2 字符"/>
    <w:basedOn w:val="a0"/>
    <w:uiPriority w:val="99"/>
    <w:qFormat/>
    <w:rPr>
      <w:rFonts w:ascii="Times New Roman" w:eastAsia="宋体" w:hAnsi="Times New Roman" w:cs="Times New Roman"/>
      <w:szCs w:val="24"/>
    </w:rPr>
  </w:style>
  <w:style w:type="character" w:customStyle="1" w:styleId="2Char">
    <w:name w:val="正文文本缩进 2 Char"/>
    <w:link w:val="2"/>
    <w:qFormat/>
    <w:rPr>
      <w:rFonts w:ascii="仿宋_GB2312" w:eastAsia="仿宋_GB2312" w:hAnsi="宋体" w:cs="Times New Roman"/>
      <w:sz w:val="30"/>
      <w:szCs w:val="30"/>
    </w:rPr>
  </w:style>
  <w:style w:type="character" w:customStyle="1" w:styleId="af5">
    <w:name w:val="正文文本缩进 字符"/>
    <w:basedOn w:val="a0"/>
    <w:uiPriority w:val="99"/>
    <w:qFormat/>
    <w:rPr>
      <w:rFonts w:ascii="Times New Roman" w:eastAsia="宋体" w:hAnsi="Times New Roman" w:cs="Times New Roman"/>
      <w:szCs w:val="24"/>
    </w:rPr>
  </w:style>
  <w:style w:type="character" w:customStyle="1" w:styleId="Char2">
    <w:name w:val="正文文本缩进 Char"/>
    <w:link w:val="a6"/>
    <w:qFormat/>
    <w:rPr>
      <w:rFonts w:ascii="Times New Roman" w:eastAsia="宋体" w:hAnsi="Times New Roman" w:cs="Times New Roman"/>
      <w:szCs w:val="24"/>
    </w:rPr>
  </w:style>
  <w:style w:type="character" w:customStyle="1" w:styleId="33">
    <w:name w:val="正文文本缩进 3 字符"/>
    <w:basedOn w:val="a0"/>
    <w:uiPriority w:val="99"/>
    <w:qFormat/>
    <w:rPr>
      <w:rFonts w:ascii="Times New Roman" w:eastAsia="宋体" w:hAnsi="Times New Roman" w:cs="Times New Roman"/>
      <w:sz w:val="16"/>
      <w:szCs w:val="16"/>
    </w:rPr>
  </w:style>
  <w:style w:type="character" w:customStyle="1" w:styleId="3Char0">
    <w:name w:val="正文文本缩进 3 Char"/>
    <w:link w:val="31"/>
    <w:qFormat/>
    <w:rPr>
      <w:rFonts w:ascii="Times New Roman" w:eastAsia="宋体" w:hAnsi="Times New Roman" w:cs="Times New Roman"/>
      <w:sz w:val="16"/>
      <w:szCs w:val="16"/>
    </w:rPr>
  </w:style>
  <w:style w:type="character" w:customStyle="1" w:styleId="af6">
    <w:name w:val="页眉 字符"/>
    <w:basedOn w:val="a0"/>
    <w:uiPriority w:val="99"/>
    <w:qFormat/>
    <w:rPr>
      <w:rFonts w:ascii="Times New Roman" w:eastAsia="宋体" w:hAnsi="Times New Roman" w:cs="Times New Roman"/>
      <w:sz w:val="18"/>
      <w:szCs w:val="18"/>
    </w:rPr>
  </w:style>
  <w:style w:type="character" w:customStyle="1" w:styleId="Char6">
    <w:name w:val="页眉 Char"/>
    <w:link w:val="aa"/>
    <w:uiPriority w:val="99"/>
    <w:qFormat/>
    <w:rPr>
      <w:rFonts w:ascii="Times New Roman" w:eastAsia="宋体" w:hAnsi="Times New Roman" w:cs="Times New Roman"/>
      <w:sz w:val="18"/>
      <w:szCs w:val="18"/>
    </w:rPr>
  </w:style>
  <w:style w:type="paragraph" w:styleId="af7">
    <w:name w:val="List Paragraph"/>
    <w:basedOn w:val="a"/>
    <w:uiPriority w:val="34"/>
    <w:qFormat/>
    <w:pPr>
      <w:ind w:firstLineChars="200" w:firstLine="420"/>
    </w:pPr>
  </w:style>
  <w:style w:type="character" w:customStyle="1" w:styleId="HTML0">
    <w:name w:val="HTML 预设格式 字符"/>
    <w:basedOn w:val="a0"/>
    <w:uiPriority w:val="99"/>
    <w:qFormat/>
    <w:rPr>
      <w:rFonts w:ascii="Courier New" w:eastAsia="宋体" w:hAnsi="Courier New" w:cs="Courier New"/>
      <w:sz w:val="20"/>
      <w:szCs w:val="20"/>
    </w:rPr>
  </w:style>
  <w:style w:type="character" w:customStyle="1" w:styleId="HTMLChar">
    <w:name w:val="HTML 预设格式 Char"/>
    <w:link w:val="HTML"/>
    <w:qFormat/>
    <w:rPr>
      <w:rFonts w:ascii="宋体" w:eastAsia="宋体" w:hAnsi="宋体" w:cs="宋体"/>
      <w:kern w:val="0"/>
      <w:sz w:val="24"/>
      <w:szCs w:val="2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lang w:eastAsia="en-US"/>
    </w:rPr>
  </w:style>
  <w:style w:type="character" w:customStyle="1" w:styleId="af8">
    <w:name w:val="批注框文本 字符"/>
    <w:basedOn w:val="a0"/>
    <w:uiPriority w:val="99"/>
    <w:qFormat/>
    <w:rPr>
      <w:rFonts w:ascii="Times New Roman" w:eastAsia="宋体" w:hAnsi="Times New Roman" w:cs="Times New Roman"/>
      <w:sz w:val="18"/>
      <w:szCs w:val="18"/>
    </w:rPr>
  </w:style>
  <w:style w:type="character" w:customStyle="1" w:styleId="Char4">
    <w:name w:val="批注框文本 Char"/>
    <w:link w:val="a8"/>
    <w:qFormat/>
    <w:rPr>
      <w:rFonts w:ascii="Times New Roman" w:eastAsia="宋体" w:hAnsi="Times New Roman" w:cs="Times New Roman"/>
      <w:sz w:val="18"/>
      <w:szCs w:val="18"/>
    </w:rPr>
  </w:style>
  <w:style w:type="character" w:customStyle="1" w:styleId="apple-style-span">
    <w:name w:val="apple-style-span"/>
    <w:basedOn w:val="a0"/>
    <w:qFormat/>
  </w:style>
  <w:style w:type="character" w:customStyle="1" w:styleId="Char0">
    <w:name w:val="批注文字 Char"/>
    <w:basedOn w:val="a0"/>
    <w:link w:val="a4"/>
    <w:qFormat/>
    <w:rPr>
      <w:rFonts w:ascii="Times New Roman" w:eastAsia="宋体" w:hAnsi="Times New Roman" w:cs="Times New Roman"/>
      <w:szCs w:val="24"/>
    </w:rPr>
  </w:style>
  <w:style w:type="character" w:customStyle="1" w:styleId="Char7">
    <w:name w:val="批注主题 Char"/>
    <w:basedOn w:val="Char0"/>
    <w:link w:val="ac"/>
    <w:qFormat/>
    <w:rPr>
      <w:rFonts w:ascii="Times New Roman" w:eastAsia="宋体" w:hAnsi="Times New Roman" w:cs="Times New Roman"/>
      <w:b/>
      <w:bCs/>
      <w:szCs w:val="24"/>
    </w:rPr>
  </w:style>
  <w:style w:type="character" w:customStyle="1" w:styleId="Char1">
    <w:name w:val="正文文本 Char"/>
    <w:basedOn w:val="a0"/>
    <w:link w:val="a5"/>
    <w:qFormat/>
    <w:rPr>
      <w:rFonts w:ascii="Times New Roman" w:eastAsia="宋体" w:hAnsi="Times New Roman" w:cs="Times New Roman"/>
      <w:szCs w:val="24"/>
    </w:rPr>
  </w:style>
  <w:style w:type="paragraph" w:customStyle="1" w:styleId="12">
    <w:name w:val="修订1"/>
    <w:uiPriority w:val="99"/>
    <w:qFormat/>
    <w:rPr>
      <w:rFonts w:ascii="Times New Roman" w:eastAsia="宋体" w:hAnsi="Times New Roman" w:cs="Times New Roman"/>
      <w:kern w:val="2"/>
      <w:sz w:val="21"/>
      <w:szCs w:val="24"/>
    </w:rPr>
  </w:style>
  <w:style w:type="character" w:customStyle="1" w:styleId="af9">
    <w:name w:val="文档结构图 字符"/>
    <w:basedOn w:val="a0"/>
    <w:uiPriority w:val="99"/>
    <w:qFormat/>
    <w:rPr>
      <w:rFonts w:ascii="Microsoft YaHei UI" w:eastAsia="Microsoft YaHei UI" w:hAnsi="Times New Roman" w:cs="Times New Roman"/>
      <w:sz w:val="18"/>
      <w:szCs w:val="18"/>
    </w:rPr>
  </w:style>
  <w:style w:type="character" w:customStyle="1" w:styleId="Char">
    <w:name w:val="文档结构图 Char"/>
    <w:link w:val="a3"/>
    <w:uiPriority w:val="99"/>
    <w:qFormat/>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540726">
      <w:bodyDiv w:val="1"/>
      <w:marLeft w:val="0"/>
      <w:marRight w:val="0"/>
      <w:marTop w:val="0"/>
      <w:marBottom w:val="0"/>
      <w:divBdr>
        <w:top w:val="none" w:sz="0" w:space="0" w:color="auto"/>
        <w:left w:val="none" w:sz="0" w:space="0" w:color="auto"/>
        <w:bottom w:val="none" w:sz="0" w:space="0" w:color="auto"/>
        <w:right w:val="none" w:sz="0" w:space="0" w:color="auto"/>
      </w:divBdr>
      <w:divsChild>
        <w:div w:id="568421151">
          <w:marLeft w:val="0"/>
          <w:marRight w:val="0"/>
          <w:marTop w:val="0"/>
          <w:marBottom w:val="0"/>
          <w:divBdr>
            <w:top w:val="none" w:sz="0" w:space="0" w:color="auto"/>
            <w:left w:val="none" w:sz="0" w:space="0" w:color="auto"/>
            <w:bottom w:val="none" w:sz="0" w:space="0" w:color="auto"/>
            <w:right w:val="none" w:sz="0" w:space="0" w:color="auto"/>
          </w:divBdr>
        </w:div>
        <w:div w:id="1005061248">
          <w:marLeft w:val="0"/>
          <w:marRight w:val="0"/>
          <w:marTop w:val="0"/>
          <w:marBottom w:val="0"/>
          <w:divBdr>
            <w:top w:val="none" w:sz="0" w:space="0" w:color="auto"/>
            <w:left w:val="none" w:sz="0" w:space="0" w:color="auto"/>
            <w:bottom w:val="none" w:sz="0" w:space="0" w:color="auto"/>
            <w:right w:val="none" w:sz="0" w:space="0" w:color="auto"/>
          </w:divBdr>
        </w:div>
        <w:div w:id="9620775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328753531@qq.com</dc:creator>
  <cp:lastModifiedBy>郑妍</cp:lastModifiedBy>
  <cp:revision>3</cp:revision>
  <dcterms:created xsi:type="dcterms:W3CDTF">2025-01-23T01:22:00Z</dcterms:created>
  <dcterms:modified xsi:type="dcterms:W3CDTF">2025-01-23T01:26:00Z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B1DF320B2E6C1A28EEE89C65DBDF8BF6_43</vt:lpwstr>
  </property>
</Properties>
</file>