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F9061" w14:textId="08227947" w:rsidR="0044575E" w:rsidRPr="00BC57B3" w:rsidRDefault="0044575E" w:rsidP="006B3321">
      <w:pPr>
        <w:adjustRightInd w:val="0"/>
        <w:snapToGrid w:val="0"/>
        <w:spacing w:line="360" w:lineRule="auto"/>
        <w:rPr>
          <w:rFonts w:ascii="黑体" w:eastAsia="黑体" w:hAnsi="黑体"/>
          <w:b/>
          <w:bCs/>
          <w:sz w:val="28"/>
          <w:szCs w:val="28"/>
        </w:rPr>
      </w:pPr>
      <w:r w:rsidRPr="00BC57B3">
        <w:rPr>
          <w:rFonts w:ascii="黑体" w:eastAsia="黑体" w:hAnsi="黑体" w:hint="eastAsia"/>
          <w:b/>
          <w:bCs/>
          <w:sz w:val="28"/>
          <w:szCs w:val="28"/>
        </w:rPr>
        <w:t>证券代码：</w:t>
      </w:r>
      <w:r w:rsidR="006B3321" w:rsidRPr="00BC57B3">
        <w:rPr>
          <w:rFonts w:ascii="黑体" w:eastAsia="黑体" w:hAnsi="黑体" w:hint="eastAsia"/>
          <w:b/>
          <w:bCs/>
          <w:sz w:val="28"/>
          <w:szCs w:val="28"/>
        </w:rPr>
        <w:t>6</w:t>
      </w:r>
      <w:r w:rsidR="006B3321" w:rsidRPr="00BC57B3">
        <w:rPr>
          <w:rFonts w:ascii="黑体" w:eastAsia="黑体" w:hAnsi="黑体"/>
          <w:b/>
          <w:bCs/>
          <w:sz w:val="28"/>
          <w:szCs w:val="28"/>
        </w:rPr>
        <w:t>88159</w:t>
      </w:r>
      <w:r w:rsidR="008E37F2">
        <w:rPr>
          <w:rFonts w:ascii="黑体" w:eastAsia="黑体" w:hAnsi="黑体" w:hint="eastAsia"/>
          <w:b/>
          <w:bCs/>
          <w:sz w:val="28"/>
          <w:szCs w:val="28"/>
        </w:rPr>
        <w:t xml:space="preserve">    </w:t>
      </w:r>
      <w:r w:rsidRPr="00BC57B3">
        <w:rPr>
          <w:rFonts w:ascii="黑体" w:eastAsia="黑体" w:hAnsi="黑体" w:hint="eastAsia"/>
          <w:b/>
          <w:bCs/>
          <w:sz w:val="28"/>
          <w:szCs w:val="28"/>
        </w:rPr>
        <w:t>证券简称：</w:t>
      </w:r>
      <w:r w:rsidR="006B3321" w:rsidRPr="00BC57B3">
        <w:rPr>
          <w:rFonts w:ascii="黑体" w:eastAsia="黑体" w:hAnsi="黑体" w:hint="eastAsia"/>
          <w:b/>
          <w:bCs/>
          <w:sz w:val="28"/>
          <w:szCs w:val="28"/>
        </w:rPr>
        <w:t>有方科技</w:t>
      </w:r>
      <w:r w:rsidR="008E37F2">
        <w:rPr>
          <w:rFonts w:ascii="黑体" w:eastAsia="黑体" w:hAnsi="黑体" w:hint="eastAsia"/>
          <w:b/>
          <w:bCs/>
          <w:sz w:val="28"/>
          <w:szCs w:val="28"/>
        </w:rPr>
        <w:t xml:space="preserve">    </w:t>
      </w:r>
      <w:r w:rsidRPr="00BC57B3">
        <w:rPr>
          <w:rFonts w:ascii="黑体" w:eastAsia="黑体" w:hAnsi="黑体" w:hint="eastAsia"/>
          <w:b/>
          <w:bCs/>
          <w:sz w:val="28"/>
          <w:szCs w:val="28"/>
        </w:rPr>
        <w:t>公告编号：</w:t>
      </w:r>
      <w:r w:rsidR="006B3321" w:rsidRPr="00BC57B3">
        <w:rPr>
          <w:rFonts w:ascii="黑体" w:eastAsia="黑体" w:hAnsi="黑体" w:hint="eastAsia"/>
          <w:b/>
          <w:bCs/>
          <w:sz w:val="28"/>
          <w:szCs w:val="28"/>
        </w:rPr>
        <w:t>202</w:t>
      </w:r>
      <w:r w:rsidR="00957879">
        <w:rPr>
          <w:rFonts w:ascii="黑体" w:eastAsia="黑体" w:hAnsi="黑体"/>
          <w:b/>
          <w:bCs/>
          <w:sz w:val="28"/>
          <w:szCs w:val="28"/>
        </w:rPr>
        <w:t>5</w:t>
      </w:r>
      <w:r w:rsidR="00B2166A" w:rsidRPr="00BC57B3">
        <w:rPr>
          <w:rFonts w:ascii="黑体" w:eastAsia="黑体" w:hAnsi="黑体"/>
          <w:b/>
          <w:bCs/>
          <w:sz w:val="28"/>
          <w:szCs w:val="28"/>
        </w:rPr>
        <w:t>-0</w:t>
      </w:r>
      <w:r w:rsidR="00957879">
        <w:rPr>
          <w:rFonts w:ascii="黑体" w:eastAsia="黑体" w:hAnsi="黑体"/>
          <w:b/>
          <w:bCs/>
          <w:sz w:val="28"/>
          <w:szCs w:val="28"/>
        </w:rPr>
        <w:t>12</w:t>
      </w:r>
    </w:p>
    <w:p w14:paraId="15A2CC1B" w14:textId="77777777" w:rsidR="0044575E" w:rsidRPr="008E37F2" w:rsidRDefault="0044575E" w:rsidP="0044575E">
      <w:pPr>
        <w:adjustRightInd w:val="0"/>
        <w:spacing w:line="360" w:lineRule="auto"/>
        <w:jc w:val="center"/>
        <w:rPr>
          <w:rFonts w:ascii="宋体" w:hAnsi="宋体" w:cs="宋体"/>
          <w:b/>
          <w:color w:val="000000"/>
          <w:kern w:val="0"/>
          <w:sz w:val="24"/>
        </w:rPr>
      </w:pPr>
    </w:p>
    <w:p w14:paraId="2500A0EC" w14:textId="77777777" w:rsidR="006B3321" w:rsidRPr="000E2112" w:rsidRDefault="006B3321" w:rsidP="0044575E">
      <w:pPr>
        <w:adjustRightInd w:val="0"/>
        <w:spacing w:line="360" w:lineRule="auto"/>
        <w:jc w:val="center"/>
        <w:rPr>
          <w:rFonts w:ascii="黑体" w:eastAsia="黑体" w:hAnsi="黑体"/>
          <w:b/>
          <w:bCs/>
          <w:color w:val="000000"/>
          <w:sz w:val="44"/>
          <w:szCs w:val="44"/>
        </w:rPr>
      </w:pPr>
      <w:r w:rsidRPr="000E2112">
        <w:rPr>
          <w:rFonts w:ascii="黑体" w:eastAsia="黑体" w:hAnsi="黑体" w:hint="eastAsia"/>
          <w:b/>
          <w:bCs/>
          <w:color w:val="000000"/>
          <w:sz w:val="44"/>
          <w:szCs w:val="44"/>
        </w:rPr>
        <w:t>深圳市有方科技</w:t>
      </w:r>
      <w:r w:rsidR="0044575E" w:rsidRPr="000E2112">
        <w:rPr>
          <w:rFonts w:ascii="黑体" w:eastAsia="黑体" w:hAnsi="黑体" w:hint="eastAsia"/>
          <w:b/>
          <w:bCs/>
          <w:color w:val="000000"/>
          <w:sz w:val="44"/>
          <w:szCs w:val="44"/>
        </w:rPr>
        <w:t>股份有限公司</w:t>
      </w:r>
    </w:p>
    <w:p w14:paraId="217CECBF" w14:textId="3C2C9F3E" w:rsidR="0044575E" w:rsidRPr="000E2112" w:rsidRDefault="00B2166A" w:rsidP="00B2166A">
      <w:pPr>
        <w:adjustRightInd w:val="0"/>
        <w:spacing w:line="360" w:lineRule="auto"/>
        <w:jc w:val="center"/>
        <w:rPr>
          <w:rFonts w:ascii="黑体" w:eastAsia="黑体" w:hAnsi="黑体"/>
          <w:b/>
          <w:bCs/>
          <w:color w:val="000000"/>
          <w:sz w:val="44"/>
          <w:szCs w:val="44"/>
        </w:rPr>
      </w:pPr>
      <w:r w:rsidRPr="000E2112">
        <w:rPr>
          <w:rFonts w:ascii="黑体" w:eastAsia="黑体" w:hAnsi="黑体" w:hint="eastAsia"/>
          <w:b/>
          <w:bCs/>
          <w:color w:val="000000"/>
          <w:sz w:val="44"/>
          <w:szCs w:val="44"/>
        </w:rPr>
        <w:t>关于</w:t>
      </w:r>
      <w:r w:rsidR="00957879">
        <w:rPr>
          <w:rFonts w:ascii="黑体" w:eastAsia="黑体" w:hAnsi="黑体" w:hint="eastAsia"/>
          <w:b/>
          <w:bCs/>
          <w:color w:val="000000"/>
          <w:sz w:val="44"/>
          <w:szCs w:val="44"/>
        </w:rPr>
        <w:t>开立募集资金专项账户并</w:t>
      </w:r>
      <w:r w:rsidR="004362DB">
        <w:rPr>
          <w:rFonts w:ascii="黑体" w:eastAsia="黑体" w:hAnsi="黑体" w:hint="eastAsia"/>
          <w:b/>
          <w:bCs/>
          <w:color w:val="000000"/>
          <w:sz w:val="44"/>
          <w:szCs w:val="44"/>
        </w:rPr>
        <w:t>签订募集资金专户存储三方监管协议</w:t>
      </w:r>
      <w:r w:rsidRPr="000E2112">
        <w:rPr>
          <w:rFonts w:ascii="黑体" w:eastAsia="黑体" w:hAnsi="黑体" w:hint="eastAsia"/>
          <w:b/>
          <w:bCs/>
          <w:color w:val="000000"/>
          <w:sz w:val="44"/>
          <w:szCs w:val="44"/>
        </w:rPr>
        <w:t>的公告</w:t>
      </w:r>
    </w:p>
    <w:p w14:paraId="5093130F" w14:textId="77777777" w:rsidR="0044575E" w:rsidRPr="00C87412" w:rsidRDefault="0044575E" w:rsidP="0044575E">
      <w:pPr>
        <w:adjustRightInd w:val="0"/>
        <w:spacing w:line="360" w:lineRule="auto"/>
        <w:rPr>
          <w:rFonts w:ascii="宋体" w:hAnsi="宋体"/>
          <w:color w:val="000000"/>
          <w:sz w:val="24"/>
        </w:rPr>
      </w:pPr>
    </w:p>
    <w:p w14:paraId="328E8B46" w14:textId="1D7FD6D7" w:rsidR="0044575E" w:rsidRPr="00C87412" w:rsidRDefault="0044575E" w:rsidP="0044575E">
      <w:pPr>
        <w:pBdr>
          <w:top w:val="single" w:sz="4" w:space="1" w:color="auto"/>
          <w:left w:val="single" w:sz="4" w:space="4" w:color="auto"/>
          <w:bottom w:val="single" w:sz="4" w:space="1" w:color="auto"/>
          <w:right w:val="single" w:sz="4" w:space="4" w:color="auto"/>
        </w:pBdr>
        <w:adjustRightInd w:val="0"/>
        <w:spacing w:line="360" w:lineRule="auto"/>
        <w:rPr>
          <w:rFonts w:ascii="宋体" w:hAnsi="宋体"/>
          <w:color w:val="000000"/>
          <w:sz w:val="24"/>
        </w:rPr>
      </w:pPr>
      <w:r w:rsidRPr="00C87412">
        <w:rPr>
          <w:rFonts w:ascii="宋体" w:hAnsi="宋体" w:hint="eastAsia"/>
          <w:color w:val="000000"/>
          <w:sz w:val="24"/>
        </w:rPr>
        <w:t xml:space="preserve">    本公司董事会及全体董事保证本公告内容不存在任何虚假记载、误导性陈述或者重大遗漏，并对其内容的真实性、准确性和完整性承担个别及连带责任。</w:t>
      </w:r>
    </w:p>
    <w:p w14:paraId="2181B946" w14:textId="77777777" w:rsidR="0044575E" w:rsidRPr="00C87412" w:rsidRDefault="0044575E" w:rsidP="0044575E">
      <w:pPr>
        <w:rPr>
          <w:rFonts w:ascii="仿宋_GB2312" w:eastAsia="仿宋_GB2312"/>
          <w:sz w:val="30"/>
          <w:szCs w:val="30"/>
        </w:rPr>
      </w:pPr>
    </w:p>
    <w:p w14:paraId="752BE904" w14:textId="6C082FA6" w:rsidR="004362DB" w:rsidRPr="004362DB" w:rsidRDefault="004362DB" w:rsidP="0054254A">
      <w:pPr>
        <w:pStyle w:val="a6"/>
        <w:shd w:val="clear" w:color="auto" w:fill="FFFFFF"/>
        <w:spacing w:before="0" w:beforeAutospacing="0" w:after="0" w:afterAutospacing="0" w:line="360" w:lineRule="auto"/>
        <w:ind w:firstLineChars="200" w:firstLine="560"/>
        <w:jc w:val="both"/>
        <w:rPr>
          <w:rFonts w:ascii="Times New Roman" w:hAnsi="Times New Roman" w:cs="Times New Roman"/>
          <w:color w:val="000000"/>
          <w:kern w:val="2"/>
          <w:sz w:val="28"/>
          <w:szCs w:val="28"/>
        </w:rPr>
      </w:pPr>
      <w:r w:rsidRPr="004362DB">
        <w:rPr>
          <w:rFonts w:ascii="Times New Roman" w:hAnsi="Times New Roman" w:cs="Times New Roman" w:hint="eastAsia"/>
          <w:color w:val="000000"/>
          <w:kern w:val="2"/>
          <w:sz w:val="28"/>
          <w:szCs w:val="28"/>
        </w:rPr>
        <w:t>深圳市有方科技股份有限公司（以下简称“公司”）于</w:t>
      </w:r>
      <w:r w:rsidRPr="004362DB">
        <w:rPr>
          <w:rFonts w:ascii="Times New Roman" w:hAnsi="Times New Roman" w:cs="Times New Roman" w:hint="eastAsia"/>
          <w:color w:val="000000"/>
          <w:kern w:val="2"/>
          <w:sz w:val="28"/>
          <w:szCs w:val="28"/>
        </w:rPr>
        <w:t>202</w:t>
      </w:r>
      <w:r w:rsidR="00957879">
        <w:rPr>
          <w:rFonts w:ascii="Times New Roman" w:hAnsi="Times New Roman" w:cs="Times New Roman"/>
          <w:color w:val="000000"/>
          <w:kern w:val="2"/>
          <w:sz w:val="28"/>
          <w:szCs w:val="28"/>
        </w:rPr>
        <w:t>5</w:t>
      </w:r>
      <w:r w:rsidRPr="004362DB">
        <w:rPr>
          <w:rFonts w:ascii="Times New Roman" w:hAnsi="Times New Roman" w:cs="Times New Roman" w:hint="eastAsia"/>
          <w:color w:val="000000"/>
          <w:kern w:val="2"/>
          <w:sz w:val="28"/>
          <w:szCs w:val="28"/>
        </w:rPr>
        <w:t>年</w:t>
      </w:r>
      <w:r w:rsidR="00957879">
        <w:rPr>
          <w:rFonts w:ascii="Times New Roman" w:hAnsi="Times New Roman" w:cs="Times New Roman"/>
          <w:color w:val="000000"/>
          <w:kern w:val="2"/>
          <w:sz w:val="28"/>
          <w:szCs w:val="28"/>
        </w:rPr>
        <w:t>1</w:t>
      </w:r>
      <w:r w:rsidRPr="004362DB">
        <w:rPr>
          <w:rFonts w:ascii="Times New Roman" w:hAnsi="Times New Roman" w:cs="Times New Roman" w:hint="eastAsia"/>
          <w:color w:val="000000"/>
          <w:kern w:val="2"/>
          <w:sz w:val="28"/>
          <w:szCs w:val="28"/>
        </w:rPr>
        <w:t>月</w:t>
      </w:r>
      <w:r w:rsidR="00957879">
        <w:rPr>
          <w:rFonts w:ascii="Times New Roman" w:hAnsi="Times New Roman" w:cs="Times New Roman"/>
          <w:color w:val="000000"/>
          <w:kern w:val="2"/>
          <w:sz w:val="28"/>
          <w:szCs w:val="28"/>
        </w:rPr>
        <w:t>22</w:t>
      </w:r>
      <w:r w:rsidRPr="004362DB">
        <w:rPr>
          <w:rFonts w:ascii="Times New Roman" w:hAnsi="Times New Roman" w:cs="Times New Roman" w:hint="eastAsia"/>
          <w:color w:val="000000"/>
          <w:kern w:val="2"/>
          <w:sz w:val="28"/>
          <w:szCs w:val="28"/>
        </w:rPr>
        <w:t>日</w:t>
      </w:r>
      <w:r w:rsidR="00957879" w:rsidRPr="00957879">
        <w:rPr>
          <w:rFonts w:ascii="Times New Roman" w:hAnsi="Times New Roman" w:cs="Times New Roman" w:hint="eastAsia"/>
          <w:color w:val="000000"/>
          <w:kern w:val="2"/>
          <w:sz w:val="28"/>
          <w:szCs w:val="28"/>
        </w:rPr>
        <w:t>召开第</w:t>
      </w:r>
      <w:r w:rsidR="00957879">
        <w:rPr>
          <w:rFonts w:ascii="Times New Roman" w:hAnsi="Times New Roman" w:cs="Times New Roman" w:hint="eastAsia"/>
          <w:color w:val="000000"/>
          <w:kern w:val="2"/>
          <w:sz w:val="28"/>
          <w:szCs w:val="28"/>
        </w:rPr>
        <w:t>四</w:t>
      </w:r>
      <w:r w:rsidR="00957879" w:rsidRPr="00957879">
        <w:rPr>
          <w:rFonts w:ascii="Times New Roman" w:hAnsi="Times New Roman" w:cs="Times New Roman" w:hint="eastAsia"/>
          <w:color w:val="000000"/>
          <w:kern w:val="2"/>
          <w:sz w:val="28"/>
          <w:szCs w:val="28"/>
        </w:rPr>
        <w:t>届董事会第</w:t>
      </w:r>
      <w:r w:rsidR="00957879">
        <w:rPr>
          <w:rFonts w:ascii="Times New Roman" w:hAnsi="Times New Roman" w:cs="Times New Roman" w:hint="eastAsia"/>
          <w:color w:val="000000"/>
          <w:kern w:val="2"/>
          <w:sz w:val="28"/>
          <w:szCs w:val="28"/>
        </w:rPr>
        <w:t>三</w:t>
      </w:r>
      <w:r w:rsidR="00957879" w:rsidRPr="00957879">
        <w:rPr>
          <w:rFonts w:ascii="Times New Roman" w:hAnsi="Times New Roman" w:cs="Times New Roman" w:hint="eastAsia"/>
          <w:color w:val="000000"/>
          <w:kern w:val="2"/>
          <w:sz w:val="28"/>
          <w:szCs w:val="28"/>
        </w:rPr>
        <w:t>次会议、第</w:t>
      </w:r>
      <w:r w:rsidR="00957879">
        <w:rPr>
          <w:rFonts w:ascii="Times New Roman" w:hAnsi="Times New Roman" w:cs="Times New Roman" w:hint="eastAsia"/>
          <w:color w:val="000000"/>
          <w:kern w:val="2"/>
          <w:sz w:val="28"/>
          <w:szCs w:val="28"/>
        </w:rPr>
        <w:t>四</w:t>
      </w:r>
      <w:r w:rsidR="00957879" w:rsidRPr="00957879">
        <w:rPr>
          <w:rFonts w:ascii="Times New Roman" w:hAnsi="Times New Roman" w:cs="Times New Roman" w:hint="eastAsia"/>
          <w:color w:val="000000"/>
          <w:kern w:val="2"/>
          <w:sz w:val="28"/>
          <w:szCs w:val="28"/>
        </w:rPr>
        <w:t>届监事会第</w:t>
      </w:r>
      <w:r w:rsidR="00957879">
        <w:rPr>
          <w:rFonts w:ascii="Times New Roman" w:hAnsi="Times New Roman" w:cs="Times New Roman" w:hint="eastAsia"/>
          <w:color w:val="000000"/>
          <w:kern w:val="2"/>
          <w:sz w:val="28"/>
          <w:szCs w:val="28"/>
        </w:rPr>
        <w:t>二</w:t>
      </w:r>
      <w:r w:rsidR="00957879" w:rsidRPr="00957879">
        <w:rPr>
          <w:rFonts w:ascii="Times New Roman" w:hAnsi="Times New Roman" w:cs="Times New Roman" w:hint="eastAsia"/>
          <w:color w:val="000000"/>
          <w:kern w:val="2"/>
          <w:sz w:val="28"/>
          <w:szCs w:val="28"/>
        </w:rPr>
        <w:t>次会议，对</w:t>
      </w:r>
      <w:r w:rsidR="00FE21FE" w:rsidRPr="00FE21FE">
        <w:rPr>
          <w:rFonts w:ascii="Times New Roman" w:hAnsi="Times New Roman" w:cs="Times New Roman" w:hint="eastAsia"/>
          <w:color w:val="000000"/>
          <w:kern w:val="2"/>
          <w:sz w:val="28"/>
          <w:szCs w:val="28"/>
        </w:rPr>
        <w:t>部分募投项目内部投资结构</w:t>
      </w:r>
      <w:r w:rsidR="00FE21FE">
        <w:rPr>
          <w:rFonts w:ascii="Times New Roman" w:hAnsi="Times New Roman" w:cs="Times New Roman" w:hint="eastAsia"/>
          <w:color w:val="000000"/>
          <w:kern w:val="2"/>
          <w:sz w:val="28"/>
          <w:szCs w:val="28"/>
        </w:rPr>
        <w:t>和期限</w:t>
      </w:r>
      <w:r w:rsidR="00957879" w:rsidRPr="00957879">
        <w:rPr>
          <w:rFonts w:ascii="Times New Roman" w:hAnsi="Times New Roman" w:cs="Times New Roman" w:hint="eastAsia"/>
          <w:color w:val="000000"/>
          <w:kern w:val="2"/>
          <w:sz w:val="28"/>
          <w:szCs w:val="28"/>
        </w:rPr>
        <w:t>进行了调整</w:t>
      </w:r>
      <w:r w:rsidR="00FE21FE">
        <w:rPr>
          <w:rFonts w:ascii="Times New Roman" w:hAnsi="Times New Roman" w:cs="Times New Roman" w:hint="eastAsia"/>
          <w:color w:val="000000"/>
          <w:kern w:val="2"/>
          <w:sz w:val="28"/>
          <w:szCs w:val="28"/>
        </w:rPr>
        <w:t>，同时</w:t>
      </w:r>
      <w:r w:rsidR="00FE21FE" w:rsidRPr="00FE21FE">
        <w:rPr>
          <w:rFonts w:ascii="Times New Roman" w:hAnsi="Times New Roman" w:cs="Times New Roman" w:hint="eastAsia"/>
          <w:color w:val="000000"/>
          <w:kern w:val="2"/>
          <w:sz w:val="28"/>
          <w:szCs w:val="28"/>
        </w:rPr>
        <w:t>增加实施主体和实施地点</w:t>
      </w:r>
      <w:r w:rsidR="00957879" w:rsidRPr="00957879">
        <w:rPr>
          <w:rFonts w:ascii="Times New Roman" w:hAnsi="Times New Roman" w:cs="Times New Roman" w:hint="eastAsia"/>
          <w:color w:val="000000"/>
          <w:kern w:val="2"/>
          <w:sz w:val="28"/>
          <w:szCs w:val="28"/>
        </w:rPr>
        <w:t>。</w:t>
      </w:r>
    </w:p>
    <w:p w14:paraId="3097275B" w14:textId="14FA08D9" w:rsidR="004362DB" w:rsidRPr="004362DB" w:rsidRDefault="004362DB" w:rsidP="0054254A">
      <w:pPr>
        <w:pStyle w:val="a6"/>
        <w:shd w:val="clear" w:color="auto" w:fill="FFFFFF"/>
        <w:spacing w:before="0" w:beforeAutospacing="0" w:after="150" w:afterAutospacing="0" w:line="360" w:lineRule="auto"/>
        <w:ind w:firstLineChars="200" w:firstLine="560"/>
        <w:jc w:val="both"/>
        <w:rPr>
          <w:rFonts w:ascii="Times New Roman" w:hAnsi="Times New Roman" w:cs="Times New Roman"/>
          <w:color w:val="000000"/>
          <w:kern w:val="2"/>
          <w:sz w:val="28"/>
          <w:szCs w:val="28"/>
        </w:rPr>
      </w:pPr>
      <w:r w:rsidRPr="004362DB">
        <w:rPr>
          <w:rFonts w:ascii="Times New Roman" w:hAnsi="Times New Roman" w:cs="Times New Roman" w:hint="eastAsia"/>
          <w:color w:val="000000"/>
          <w:kern w:val="2"/>
          <w:sz w:val="28"/>
          <w:szCs w:val="28"/>
        </w:rPr>
        <w:t>鉴于</w:t>
      </w:r>
      <w:r w:rsidR="00FE21FE" w:rsidRPr="00FE21FE">
        <w:rPr>
          <w:rFonts w:ascii="Times New Roman" w:hAnsi="Times New Roman" w:cs="Times New Roman" w:hint="eastAsia"/>
          <w:color w:val="000000"/>
          <w:kern w:val="2"/>
          <w:sz w:val="28"/>
          <w:szCs w:val="28"/>
        </w:rPr>
        <w:t>实施主体和实施地点</w:t>
      </w:r>
      <w:r w:rsidR="00FE21FE">
        <w:rPr>
          <w:rFonts w:ascii="Times New Roman" w:hAnsi="Times New Roman" w:cs="Times New Roman" w:hint="eastAsia"/>
          <w:color w:val="000000"/>
          <w:kern w:val="2"/>
          <w:sz w:val="28"/>
          <w:szCs w:val="28"/>
        </w:rPr>
        <w:t>的增加</w:t>
      </w:r>
      <w:r w:rsidRPr="004362DB">
        <w:rPr>
          <w:rFonts w:ascii="Times New Roman" w:hAnsi="Times New Roman" w:cs="Times New Roman" w:hint="eastAsia"/>
          <w:color w:val="000000"/>
          <w:kern w:val="2"/>
          <w:sz w:val="28"/>
          <w:szCs w:val="28"/>
        </w:rPr>
        <w:t>，为进一步规范公司募集资金管理，保护投资者权益，根据《上市公司监管指引第</w:t>
      </w:r>
      <w:r w:rsidRPr="004362DB">
        <w:rPr>
          <w:rFonts w:ascii="Times New Roman" w:hAnsi="Times New Roman" w:cs="Times New Roman" w:hint="eastAsia"/>
          <w:color w:val="000000"/>
          <w:kern w:val="2"/>
          <w:sz w:val="28"/>
          <w:szCs w:val="28"/>
        </w:rPr>
        <w:t>2</w:t>
      </w:r>
      <w:r w:rsidRPr="004362DB">
        <w:rPr>
          <w:rFonts w:ascii="Times New Roman" w:hAnsi="Times New Roman" w:cs="Times New Roman" w:hint="eastAsia"/>
          <w:color w:val="000000"/>
          <w:kern w:val="2"/>
          <w:sz w:val="28"/>
          <w:szCs w:val="28"/>
        </w:rPr>
        <w:t>号——上市公司募集资金管理和使用的监管要求》《上海证券交易所科创板上市公司自律监管指引第</w:t>
      </w:r>
      <w:r w:rsidRPr="004362DB">
        <w:rPr>
          <w:rFonts w:ascii="Times New Roman" w:hAnsi="Times New Roman" w:cs="Times New Roman" w:hint="eastAsia"/>
          <w:color w:val="000000"/>
          <w:kern w:val="2"/>
          <w:sz w:val="28"/>
          <w:szCs w:val="28"/>
        </w:rPr>
        <w:t>1</w:t>
      </w:r>
      <w:r w:rsidRPr="004362DB">
        <w:rPr>
          <w:rFonts w:ascii="Times New Roman" w:hAnsi="Times New Roman" w:cs="Times New Roman" w:hint="eastAsia"/>
          <w:color w:val="000000"/>
          <w:kern w:val="2"/>
          <w:sz w:val="28"/>
          <w:szCs w:val="28"/>
        </w:rPr>
        <w:t>号——规范运作》以及公司《募集资金管理制度》等相关规定，公司与保荐机构</w:t>
      </w:r>
      <w:r w:rsidR="005112D0" w:rsidRPr="00FE21FE">
        <w:rPr>
          <w:rFonts w:hint="eastAsia"/>
          <w:color w:val="000000"/>
          <w:sz w:val="28"/>
          <w:szCs w:val="28"/>
        </w:rPr>
        <w:t>财通证券股份有限公司（以下简称“</w:t>
      </w:r>
      <w:r w:rsidR="005112D0">
        <w:rPr>
          <w:rFonts w:hint="eastAsia"/>
          <w:color w:val="000000"/>
          <w:sz w:val="28"/>
          <w:szCs w:val="28"/>
        </w:rPr>
        <w:t>财通</w:t>
      </w:r>
      <w:r w:rsidR="005112D0" w:rsidRPr="00FE21FE">
        <w:rPr>
          <w:rFonts w:hint="eastAsia"/>
          <w:color w:val="000000"/>
          <w:sz w:val="28"/>
          <w:szCs w:val="28"/>
        </w:rPr>
        <w:t>证券”）</w:t>
      </w:r>
      <w:r w:rsidRPr="004362DB">
        <w:rPr>
          <w:rFonts w:ascii="Times New Roman" w:hAnsi="Times New Roman" w:cs="Times New Roman" w:hint="eastAsia"/>
          <w:color w:val="000000"/>
          <w:kern w:val="2"/>
          <w:sz w:val="28"/>
          <w:szCs w:val="28"/>
        </w:rPr>
        <w:t>以及存放募集资金的监管银行签订了</w:t>
      </w:r>
      <w:r w:rsidR="005112D0" w:rsidRPr="00FE21FE">
        <w:rPr>
          <w:rFonts w:hint="eastAsia"/>
          <w:color w:val="000000"/>
          <w:sz w:val="28"/>
          <w:szCs w:val="28"/>
        </w:rPr>
        <w:t>《募集资金专户存储三方监管协议》（以下简称“《三方协议》”）</w:t>
      </w:r>
      <w:r w:rsidRPr="004362DB">
        <w:rPr>
          <w:rFonts w:ascii="Times New Roman" w:hAnsi="Times New Roman" w:cs="Times New Roman" w:hint="eastAsia"/>
          <w:color w:val="000000"/>
          <w:kern w:val="2"/>
          <w:sz w:val="28"/>
          <w:szCs w:val="28"/>
        </w:rPr>
        <w:t>。现将有关情况公告</w:t>
      </w:r>
      <w:bookmarkStart w:id="0" w:name="_GoBack"/>
      <w:bookmarkEnd w:id="0"/>
      <w:r w:rsidRPr="004362DB">
        <w:rPr>
          <w:rFonts w:ascii="Times New Roman" w:hAnsi="Times New Roman" w:cs="Times New Roman" w:hint="eastAsia"/>
          <w:color w:val="000000"/>
          <w:kern w:val="2"/>
          <w:sz w:val="28"/>
          <w:szCs w:val="28"/>
        </w:rPr>
        <w:t>如下：</w:t>
      </w:r>
    </w:p>
    <w:p w14:paraId="08AD78CB" w14:textId="77777777" w:rsidR="0044575E" w:rsidRPr="00BC57B3" w:rsidRDefault="0044575E" w:rsidP="0054254A">
      <w:pPr>
        <w:spacing w:line="360" w:lineRule="auto"/>
        <w:ind w:firstLineChars="200" w:firstLine="562"/>
        <w:rPr>
          <w:rFonts w:ascii="宋体" w:hAnsi="宋体" w:cs="宋体"/>
          <w:b/>
          <w:color w:val="000000"/>
          <w:kern w:val="0"/>
          <w:sz w:val="28"/>
          <w:szCs w:val="28"/>
        </w:rPr>
      </w:pPr>
      <w:r w:rsidRPr="00BC57B3">
        <w:rPr>
          <w:rFonts w:ascii="宋体" w:hAnsi="宋体" w:cs="宋体" w:hint="eastAsia"/>
          <w:b/>
          <w:color w:val="000000"/>
          <w:kern w:val="0"/>
          <w:sz w:val="28"/>
          <w:szCs w:val="28"/>
        </w:rPr>
        <w:t>一、募集资金基本情况</w:t>
      </w:r>
    </w:p>
    <w:p w14:paraId="3D5A1157" w14:textId="5883C475" w:rsidR="00FC19D8" w:rsidRPr="00BC57B3" w:rsidRDefault="003F5AFF" w:rsidP="0054254A">
      <w:pPr>
        <w:spacing w:line="360" w:lineRule="auto"/>
        <w:ind w:firstLineChars="200" w:firstLine="560"/>
        <w:rPr>
          <w:color w:val="000000"/>
          <w:sz w:val="28"/>
          <w:szCs w:val="28"/>
        </w:rPr>
      </w:pPr>
      <w:r w:rsidRPr="00BC57B3">
        <w:rPr>
          <w:rFonts w:hint="eastAsia"/>
          <w:color w:val="000000"/>
          <w:sz w:val="28"/>
          <w:szCs w:val="28"/>
        </w:rPr>
        <w:t>经中国证券监督管理委员会出具的《关于同意深圳市有方科技股</w:t>
      </w:r>
      <w:r w:rsidRPr="00BC57B3">
        <w:rPr>
          <w:rFonts w:hint="eastAsia"/>
          <w:color w:val="000000"/>
          <w:sz w:val="28"/>
          <w:szCs w:val="28"/>
        </w:rPr>
        <w:lastRenderedPageBreak/>
        <w:t>份有限公司首次公开发行股票注册的批复》（证监许可</w:t>
      </w:r>
      <w:r w:rsidRPr="00BC57B3">
        <w:rPr>
          <w:rFonts w:hint="eastAsia"/>
          <w:color w:val="000000"/>
          <w:sz w:val="28"/>
          <w:szCs w:val="28"/>
        </w:rPr>
        <w:t>[2019]2971</w:t>
      </w:r>
      <w:r w:rsidRPr="00BC57B3">
        <w:rPr>
          <w:rFonts w:hint="eastAsia"/>
          <w:color w:val="000000"/>
          <w:sz w:val="28"/>
          <w:szCs w:val="28"/>
        </w:rPr>
        <w:t>号）核准，</w:t>
      </w:r>
      <w:r w:rsidR="002D1F93">
        <w:rPr>
          <w:rFonts w:hint="eastAsia"/>
          <w:color w:val="000000"/>
          <w:sz w:val="28"/>
          <w:szCs w:val="28"/>
        </w:rPr>
        <w:t>公司</w:t>
      </w:r>
      <w:r w:rsidRPr="00BC57B3">
        <w:rPr>
          <w:rFonts w:hint="eastAsia"/>
          <w:color w:val="000000"/>
          <w:sz w:val="28"/>
          <w:szCs w:val="28"/>
        </w:rPr>
        <w:t>首次向社会公开发行人民币普通股（</w:t>
      </w:r>
      <w:r w:rsidRPr="00BC57B3">
        <w:rPr>
          <w:rFonts w:hint="eastAsia"/>
          <w:color w:val="000000"/>
          <w:sz w:val="28"/>
          <w:szCs w:val="28"/>
        </w:rPr>
        <w:t>A</w:t>
      </w:r>
      <w:r w:rsidRPr="00BC57B3">
        <w:rPr>
          <w:rFonts w:hint="eastAsia"/>
          <w:color w:val="000000"/>
          <w:sz w:val="28"/>
          <w:szCs w:val="28"/>
        </w:rPr>
        <w:t>股）</w:t>
      </w:r>
      <w:r w:rsidRPr="00BC57B3">
        <w:rPr>
          <w:rFonts w:hint="eastAsia"/>
          <w:color w:val="000000"/>
          <w:sz w:val="28"/>
          <w:szCs w:val="28"/>
        </w:rPr>
        <w:t>2,292</w:t>
      </w:r>
      <w:r w:rsidRPr="00BC57B3">
        <w:rPr>
          <w:rFonts w:hint="eastAsia"/>
          <w:color w:val="000000"/>
          <w:sz w:val="28"/>
          <w:szCs w:val="28"/>
        </w:rPr>
        <w:t>万股，每股发行价格</w:t>
      </w:r>
      <w:r w:rsidRPr="00BC57B3">
        <w:rPr>
          <w:rFonts w:hint="eastAsia"/>
          <w:color w:val="000000"/>
          <w:sz w:val="28"/>
          <w:szCs w:val="28"/>
        </w:rPr>
        <w:t>20.35</w:t>
      </w:r>
      <w:r w:rsidRPr="00BC57B3">
        <w:rPr>
          <w:rFonts w:hint="eastAsia"/>
          <w:color w:val="000000"/>
          <w:sz w:val="28"/>
          <w:szCs w:val="28"/>
        </w:rPr>
        <w:t>元，募集资金总额为</w:t>
      </w:r>
      <w:r w:rsidRPr="00BC57B3">
        <w:rPr>
          <w:rFonts w:hint="eastAsia"/>
          <w:color w:val="000000"/>
          <w:sz w:val="28"/>
          <w:szCs w:val="28"/>
        </w:rPr>
        <w:t>466,422.000.00</w:t>
      </w:r>
      <w:r w:rsidRPr="00BC57B3">
        <w:rPr>
          <w:rFonts w:hint="eastAsia"/>
          <w:color w:val="000000"/>
          <w:sz w:val="28"/>
          <w:szCs w:val="28"/>
        </w:rPr>
        <w:t>元，扣除发行费用后募集资金净额为</w:t>
      </w:r>
      <w:r w:rsidRPr="00BC57B3">
        <w:rPr>
          <w:rFonts w:hint="eastAsia"/>
          <w:color w:val="000000"/>
          <w:sz w:val="28"/>
          <w:szCs w:val="28"/>
        </w:rPr>
        <w:t>412,662,868.55</w:t>
      </w:r>
      <w:r w:rsidRPr="00BC57B3">
        <w:rPr>
          <w:rFonts w:hint="eastAsia"/>
          <w:color w:val="000000"/>
          <w:sz w:val="28"/>
          <w:szCs w:val="28"/>
        </w:rPr>
        <w:t>元。立信会计师事务所（特殊普通合伙）对</w:t>
      </w:r>
      <w:r w:rsidR="002D1F93">
        <w:rPr>
          <w:rFonts w:hint="eastAsia"/>
          <w:color w:val="000000"/>
          <w:sz w:val="28"/>
          <w:szCs w:val="28"/>
        </w:rPr>
        <w:t>公司</w:t>
      </w:r>
      <w:r w:rsidRPr="00BC57B3">
        <w:rPr>
          <w:rFonts w:hint="eastAsia"/>
          <w:color w:val="000000"/>
          <w:sz w:val="28"/>
          <w:szCs w:val="28"/>
        </w:rPr>
        <w:t>首次公开发行股票的资金到位情况进行了审验，并出具了《验资报告》（</w:t>
      </w:r>
      <w:r w:rsidRPr="00BC57B3">
        <w:rPr>
          <w:rFonts w:hint="eastAsia"/>
          <w:color w:val="000000"/>
          <w:sz w:val="28"/>
          <w:szCs w:val="28"/>
        </w:rPr>
        <w:t>[2020]</w:t>
      </w:r>
      <w:r w:rsidRPr="00BC57B3">
        <w:rPr>
          <w:rFonts w:hint="eastAsia"/>
          <w:color w:val="000000"/>
          <w:sz w:val="28"/>
          <w:szCs w:val="28"/>
        </w:rPr>
        <w:t>第</w:t>
      </w:r>
      <w:r w:rsidRPr="00BC57B3">
        <w:rPr>
          <w:rFonts w:hint="eastAsia"/>
          <w:color w:val="000000"/>
          <w:sz w:val="28"/>
          <w:szCs w:val="28"/>
        </w:rPr>
        <w:t>ZI10010</w:t>
      </w:r>
      <w:r w:rsidRPr="00BC57B3">
        <w:rPr>
          <w:rFonts w:hint="eastAsia"/>
          <w:color w:val="000000"/>
          <w:sz w:val="28"/>
          <w:szCs w:val="28"/>
        </w:rPr>
        <w:t>号）。</w:t>
      </w:r>
    </w:p>
    <w:p w14:paraId="479E147A" w14:textId="1989046A" w:rsidR="0044575E" w:rsidRPr="00BC57B3" w:rsidRDefault="0044575E" w:rsidP="0054254A">
      <w:pPr>
        <w:spacing w:line="360" w:lineRule="auto"/>
        <w:ind w:firstLineChars="200" w:firstLine="562"/>
        <w:rPr>
          <w:rFonts w:ascii="宋体" w:hAnsi="宋体" w:cs="宋体"/>
          <w:b/>
          <w:color w:val="000000"/>
          <w:kern w:val="0"/>
          <w:sz w:val="28"/>
          <w:szCs w:val="28"/>
        </w:rPr>
      </w:pPr>
      <w:r w:rsidRPr="00BC57B3">
        <w:rPr>
          <w:rFonts w:ascii="宋体" w:hAnsi="宋体" w:cs="宋体" w:hint="eastAsia"/>
          <w:b/>
          <w:color w:val="000000"/>
          <w:kern w:val="0"/>
          <w:sz w:val="28"/>
          <w:szCs w:val="28"/>
        </w:rPr>
        <w:t>二、</w:t>
      </w:r>
      <w:r w:rsidR="00067C9C">
        <w:rPr>
          <w:rFonts w:ascii="宋体" w:hAnsi="宋体" w:cs="宋体" w:hint="eastAsia"/>
          <w:b/>
          <w:color w:val="000000"/>
          <w:kern w:val="0"/>
          <w:sz w:val="28"/>
          <w:szCs w:val="28"/>
        </w:rPr>
        <w:t>募集资金监管协议的</w:t>
      </w:r>
      <w:r w:rsidR="006A2069" w:rsidRPr="006A2069">
        <w:rPr>
          <w:rFonts w:ascii="宋体" w:hAnsi="宋体" w:cs="宋体" w:hint="eastAsia"/>
          <w:b/>
          <w:color w:val="000000"/>
          <w:kern w:val="0"/>
          <w:sz w:val="28"/>
          <w:szCs w:val="28"/>
        </w:rPr>
        <w:t>签订情况</w:t>
      </w:r>
      <w:r w:rsidR="006A2069">
        <w:rPr>
          <w:rFonts w:ascii="宋体" w:hAnsi="宋体" w:cs="宋体" w:hint="eastAsia"/>
          <w:b/>
          <w:color w:val="000000"/>
          <w:kern w:val="0"/>
          <w:sz w:val="28"/>
          <w:szCs w:val="28"/>
        </w:rPr>
        <w:t>和</w:t>
      </w:r>
      <w:r w:rsidRPr="00BC57B3">
        <w:rPr>
          <w:rFonts w:ascii="宋体" w:hAnsi="宋体" w:cs="宋体" w:hint="eastAsia"/>
          <w:b/>
          <w:color w:val="000000"/>
          <w:kern w:val="0"/>
          <w:sz w:val="28"/>
          <w:szCs w:val="28"/>
        </w:rPr>
        <w:t>募集资金专户的</w:t>
      </w:r>
      <w:r w:rsidR="00D80E09">
        <w:rPr>
          <w:rFonts w:ascii="宋体" w:hAnsi="宋体" w:cs="宋体" w:hint="eastAsia"/>
          <w:b/>
          <w:color w:val="000000"/>
          <w:kern w:val="0"/>
          <w:sz w:val="28"/>
          <w:szCs w:val="28"/>
        </w:rPr>
        <w:t>开立</w:t>
      </w:r>
      <w:r w:rsidRPr="00BC57B3">
        <w:rPr>
          <w:rFonts w:ascii="宋体" w:hAnsi="宋体" w:cs="宋体" w:hint="eastAsia"/>
          <w:b/>
          <w:color w:val="000000"/>
          <w:kern w:val="0"/>
          <w:sz w:val="28"/>
          <w:szCs w:val="28"/>
        </w:rPr>
        <w:t>情况</w:t>
      </w:r>
    </w:p>
    <w:p w14:paraId="3CADF74E" w14:textId="62C4832D" w:rsidR="006A2069" w:rsidRDefault="007364C4" w:rsidP="0054254A">
      <w:pPr>
        <w:spacing w:line="360" w:lineRule="auto"/>
        <w:ind w:firstLineChars="200" w:firstLine="560"/>
        <w:rPr>
          <w:color w:val="000000"/>
          <w:sz w:val="28"/>
          <w:szCs w:val="28"/>
        </w:rPr>
      </w:pPr>
      <w:r>
        <w:rPr>
          <w:rFonts w:hint="eastAsia"/>
          <w:color w:val="000000"/>
          <w:sz w:val="28"/>
          <w:szCs w:val="28"/>
        </w:rPr>
        <w:t>公司首次公开发行股票的</w:t>
      </w:r>
      <w:r w:rsidR="005A0B80" w:rsidRPr="00BC57B3">
        <w:rPr>
          <w:rFonts w:hint="eastAsia"/>
          <w:color w:val="000000"/>
          <w:sz w:val="28"/>
          <w:szCs w:val="28"/>
        </w:rPr>
        <w:t>募集资金到账后，开设了募集资金专项账户进行管理，并及时与保荐机构</w:t>
      </w:r>
      <w:r w:rsidR="005112D0" w:rsidRPr="00FE21FE">
        <w:rPr>
          <w:rFonts w:hint="eastAsia"/>
          <w:color w:val="000000"/>
          <w:sz w:val="28"/>
          <w:szCs w:val="28"/>
        </w:rPr>
        <w:t>华创证券有限责任公司（以下简称“华创证券”）</w:t>
      </w:r>
      <w:r w:rsidR="005A0B80" w:rsidRPr="00BC57B3">
        <w:rPr>
          <w:rFonts w:hint="eastAsia"/>
          <w:color w:val="000000"/>
          <w:sz w:val="28"/>
          <w:szCs w:val="28"/>
        </w:rPr>
        <w:t>、各募集资金专户存储的商业银行签署了《三方协议》和</w:t>
      </w:r>
      <w:r w:rsidR="005112D0" w:rsidRPr="00FE21FE">
        <w:rPr>
          <w:rFonts w:hint="eastAsia"/>
          <w:color w:val="000000"/>
          <w:sz w:val="28"/>
          <w:szCs w:val="28"/>
        </w:rPr>
        <w:t>《募集资金专户存储四方监管协议》（以下简称“《四方协议》”）</w:t>
      </w:r>
      <w:r>
        <w:rPr>
          <w:rFonts w:hint="eastAsia"/>
          <w:color w:val="000000"/>
          <w:sz w:val="28"/>
          <w:szCs w:val="28"/>
        </w:rPr>
        <w:t>，详见公司的《首次公开发行股票科创板上市公告书》</w:t>
      </w:r>
      <w:r w:rsidR="005A0B80" w:rsidRPr="00BC57B3">
        <w:rPr>
          <w:rFonts w:hint="eastAsia"/>
          <w:color w:val="000000"/>
          <w:sz w:val="28"/>
          <w:szCs w:val="28"/>
        </w:rPr>
        <w:t>。</w:t>
      </w:r>
      <w:r w:rsidR="00226B38">
        <w:rPr>
          <w:rFonts w:hint="eastAsia"/>
          <w:color w:val="000000"/>
          <w:sz w:val="28"/>
          <w:szCs w:val="28"/>
        </w:rPr>
        <w:t>随后</w:t>
      </w:r>
      <w:r w:rsidR="00BF74A0">
        <w:rPr>
          <w:rFonts w:hint="eastAsia"/>
          <w:color w:val="000000"/>
          <w:sz w:val="28"/>
          <w:szCs w:val="28"/>
        </w:rPr>
        <w:t>，</w:t>
      </w:r>
      <w:r>
        <w:rPr>
          <w:rFonts w:hint="eastAsia"/>
          <w:color w:val="000000"/>
          <w:sz w:val="28"/>
          <w:szCs w:val="28"/>
        </w:rPr>
        <w:t>因公司</w:t>
      </w:r>
      <w:r w:rsidR="00771F85">
        <w:rPr>
          <w:rFonts w:hint="eastAsia"/>
          <w:color w:val="000000"/>
          <w:sz w:val="28"/>
          <w:szCs w:val="28"/>
        </w:rPr>
        <w:t>审议并</w:t>
      </w:r>
      <w:r>
        <w:rPr>
          <w:rFonts w:hint="eastAsia"/>
          <w:color w:val="000000"/>
          <w:sz w:val="28"/>
          <w:szCs w:val="28"/>
        </w:rPr>
        <w:t>增加</w:t>
      </w:r>
      <w:r w:rsidR="00771F85">
        <w:rPr>
          <w:rFonts w:hint="eastAsia"/>
          <w:color w:val="000000"/>
          <w:sz w:val="28"/>
          <w:szCs w:val="28"/>
        </w:rPr>
        <w:t>了</w:t>
      </w:r>
      <w:r w:rsidR="00D109C0">
        <w:rPr>
          <w:rFonts w:hint="eastAsia"/>
          <w:color w:val="000000"/>
          <w:sz w:val="28"/>
          <w:szCs w:val="28"/>
        </w:rPr>
        <w:t>公司之</w:t>
      </w:r>
      <w:r w:rsidR="0034354D">
        <w:rPr>
          <w:rFonts w:hint="eastAsia"/>
          <w:color w:val="000000"/>
          <w:sz w:val="28"/>
          <w:szCs w:val="28"/>
        </w:rPr>
        <w:t>全资子公司和</w:t>
      </w:r>
      <w:r>
        <w:rPr>
          <w:rFonts w:hint="eastAsia"/>
          <w:color w:val="000000"/>
          <w:sz w:val="28"/>
          <w:szCs w:val="28"/>
        </w:rPr>
        <w:t>西安分公司作为募集资金投资项目的实施主体，公司又陆续开设了多个募集资金专用账户并签署</w:t>
      </w:r>
      <w:r w:rsidR="00D109C0">
        <w:rPr>
          <w:rFonts w:hint="eastAsia"/>
          <w:color w:val="000000"/>
          <w:sz w:val="28"/>
          <w:szCs w:val="28"/>
        </w:rPr>
        <w:t>了</w:t>
      </w:r>
      <w:r>
        <w:rPr>
          <w:rFonts w:hint="eastAsia"/>
          <w:color w:val="000000"/>
          <w:sz w:val="28"/>
          <w:szCs w:val="28"/>
        </w:rPr>
        <w:t>《三方协议》</w:t>
      </w:r>
      <w:r w:rsidR="00F0227A">
        <w:rPr>
          <w:rFonts w:hint="eastAsia"/>
          <w:color w:val="000000"/>
          <w:sz w:val="28"/>
          <w:szCs w:val="28"/>
        </w:rPr>
        <w:t>和</w:t>
      </w:r>
      <w:r w:rsidR="00F0227A">
        <w:rPr>
          <w:rFonts w:hint="eastAsia"/>
          <w:color w:val="000000"/>
          <w:sz w:val="28"/>
          <w:szCs w:val="28"/>
        </w:rPr>
        <w:t>/</w:t>
      </w:r>
      <w:r>
        <w:rPr>
          <w:rFonts w:hint="eastAsia"/>
          <w:color w:val="000000"/>
          <w:sz w:val="28"/>
          <w:szCs w:val="28"/>
        </w:rPr>
        <w:t>或《四方协议》，具体详见公司于</w:t>
      </w:r>
      <w:r>
        <w:rPr>
          <w:rFonts w:hint="eastAsia"/>
          <w:color w:val="000000"/>
          <w:sz w:val="28"/>
          <w:szCs w:val="28"/>
        </w:rPr>
        <w:t>2</w:t>
      </w:r>
      <w:r>
        <w:rPr>
          <w:color w:val="000000"/>
          <w:sz w:val="28"/>
          <w:szCs w:val="28"/>
        </w:rPr>
        <w:t>020</w:t>
      </w:r>
      <w:r>
        <w:rPr>
          <w:rFonts w:hint="eastAsia"/>
          <w:color w:val="000000"/>
          <w:sz w:val="28"/>
          <w:szCs w:val="28"/>
        </w:rPr>
        <w:t>年</w:t>
      </w:r>
      <w:r>
        <w:rPr>
          <w:rFonts w:hint="eastAsia"/>
          <w:color w:val="000000"/>
          <w:sz w:val="28"/>
          <w:szCs w:val="28"/>
        </w:rPr>
        <w:t>4</w:t>
      </w:r>
      <w:r>
        <w:rPr>
          <w:rFonts w:hint="eastAsia"/>
          <w:color w:val="000000"/>
          <w:sz w:val="28"/>
          <w:szCs w:val="28"/>
        </w:rPr>
        <w:t>月和</w:t>
      </w:r>
      <w:r>
        <w:rPr>
          <w:rFonts w:hint="eastAsia"/>
          <w:color w:val="000000"/>
          <w:sz w:val="28"/>
          <w:szCs w:val="28"/>
        </w:rPr>
        <w:t>5</w:t>
      </w:r>
      <w:r>
        <w:rPr>
          <w:rFonts w:hint="eastAsia"/>
          <w:color w:val="000000"/>
          <w:sz w:val="28"/>
          <w:szCs w:val="28"/>
        </w:rPr>
        <w:t>月发布的相关公告。</w:t>
      </w:r>
    </w:p>
    <w:p w14:paraId="7CF20349" w14:textId="26F762F2" w:rsidR="00FE21FE" w:rsidRDefault="001B325A" w:rsidP="0054254A">
      <w:pPr>
        <w:spacing w:line="360" w:lineRule="auto"/>
        <w:ind w:firstLineChars="200" w:firstLine="560"/>
        <w:rPr>
          <w:color w:val="000000"/>
          <w:sz w:val="28"/>
          <w:szCs w:val="28"/>
        </w:rPr>
      </w:pPr>
      <w:r>
        <w:rPr>
          <w:rFonts w:hint="eastAsia"/>
          <w:color w:val="000000"/>
          <w:sz w:val="28"/>
          <w:szCs w:val="28"/>
        </w:rPr>
        <w:t>2</w:t>
      </w:r>
      <w:r>
        <w:rPr>
          <w:color w:val="000000"/>
          <w:sz w:val="28"/>
          <w:szCs w:val="28"/>
        </w:rPr>
        <w:t>023</w:t>
      </w:r>
      <w:r>
        <w:rPr>
          <w:color w:val="000000"/>
          <w:sz w:val="28"/>
          <w:szCs w:val="28"/>
        </w:rPr>
        <w:t>年，</w:t>
      </w:r>
      <w:r w:rsidR="00FE21FE" w:rsidRPr="00FE21FE">
        <w:rPr>
          <w:rFonts w:hint="eastAsia"/>
          <w:color w:val="000000"/>
          <w:sz w:val="28"/>
          <w:szCs w:val="28"/>
        </w:rPr>
        <w:t>公司</w:t>
      </w:r>
      <w:r>
        <w:rPr>
          <w:rFonts w:hint="eastAsia"/>
          <w:color w:val="000000"/>
          <w:sz w:val="28"/>
          <w:szCs w:val="28"/>
        </w:rPr>
        <w:t>因</w:t>
      </w:r>
      <w:r w:rsidRPr="00FE21FE">
        <w:rPr>
          <w:rFonts w:hint="eastAsia"/>
          <w:color w:val="000000"/>
          <w:sz w:val="28"/>
          <w:szCs w:val="28"/>
        </w:rPr>
        <w:t>向特定对象发行</w:t>
      </w:r>
      <w:r w:rsidRPr="00FE21FE">
        <w:rPr>
          <w:rFonts w:hint="eastAsia"/>
          <w:color w:val="000000"/>
          <w:sz w:val="28"/>
          <w:szCs w:val="28"/>
        </w:rPr>
        <w:t>A</w:t>
      </w:r>
      <w:r w:rsidRPr="00FE21FE">
        <w:rPr>
          <w:rFonts w:hint="eastAsia"/>
          <w:color w:val="000000"/>
          <w:sz w:val="28"/>
          <w:szCs w:val="28"/>
        </w:rPr>
        <w:t>股股票</w:t>
      </w:r>
      <w:r>
        <w:rPr>
          <w:rFonts w:hint="eastAsia"/>
          <w:color w:val="000000"/>
          <w:sz w:val="28"/>
          <w:szCs w:val="28"/>
        </w:rPr>
        <w:t>改</w:t>
      </w:r>
      <w:r w:rsidR="00FE21FE" w:rsidRPr="00FE21FE">
        <w:rPr>
          <w:rFonts w:hint="eastAsia"/>
          <w:color w:val="000000"/>
          <w:sz w:val="28"/>
          <w:szCs w:val="28"/>
        </w:rPr>
        <w:t>聘</w:t>
      </w:r>
      <w:r w:rsidR="005112D0">
        <w:rPr>
          <w:rFonts w:hint="eastAsia"/>
          <w:color w:val="000000"/>
          <w:sz w:val="28"/>
          <w:szCs w:val="28"/>
        </w:rPr>
        <w:t>财通</w:t>
      </w:r>
      <w:r w:rsidR="005112D0" w:rsidRPr="00FE21FE">
        <w:rPr>
          <w:rFonts w:hint="eastAsia"/>
          <w:color w:val="000000"/>
          <w:sz w:val="28"/>
          <w:szCs w:val="28"/>
        </w:rPr>
        <w:t>证券</w:t>
      </w:r>
      <w:r w:rsidR="00FE21FE" w:rsidRPr="00FE21FE">
        <w:rPr>
          <w:rFonts w:hint="eastAsia"/>
          <w:color w:val="000000"/>
          <w:sz w:val="28"/>
          <w:szCs w:val="28"/>
        </w:rPr>
        <w:t>担任公司的保荐机构，具体负责公司本次向特定对象发行</w:t>
      </w:r>
      <w:r w:rsidR="00FE21FE" w:rsidRPr="00FE21FE">
        <w:rPr>
          <w:rFonts w:hint="eastAsia"/>
          <w:color w:val="000000"/>
          <w:sz w:val="28"/>
          <w:szCs w:val="28"/>
        </w:rPr>
        <w:t>A</w:t>
      </w:r>
      <w:r w:rsidR="00FE21FE" w:rsidRPr="00FE21FE">
        <w:rPr>
          <w:rFonts w:hint="eastAsia"/>
          <w:color w:val="000000"/>
          <w:sz w:val="28"/>
          <w:szCs w:val="28"/>
        </w:rPr>
        <w:t>股股票的保荐工作及持续督导工作。公司与原保荐机构</w:t>
      </w:r>
      <w:r w:rsidR="005112D0" w:rsidRPr="00FE21FE">
        <w:rPr>
          <w:rFonts w:hint="eastAsia"/>
          <w:color w:val="000000"/>
          <w:sz w:val="28"/>
          <w:szCs w:val="28"/>
        </w:rPr>
        <w:t>华创证券</w:t>
      </w:r>
      <w:r w:rsidR="00FE21FE" w:rsidRPr="00FE21FE">
        <w:rPr>
          <w:rFonts w:hint="eastAsia"/>
          <w:color w:val="000000"/>
          <w:sz w:val="28"/>
          <w:szCs w:val="28"/>
        </w:rPr>
        <w:t>以及存放募集资金的商业银行签订的《三方协议》和《四方协议》相应终止，</w:t>
      </w:r>
      <w:r w:rsidR="0054254A">
        <w:rPr>
          <w:rFonts w:hint="eastAsia"/>
          <w:color w:val="000000"/>
          <w:sz w:val="28"/>
          <w:szCs w:val="28"/>
        </w:rPr>
        <w:t>公司与财通证券以及存放募集资金的商业银行</w:t>
      </w:r>
      <w:r w:rsidR="0054254A" w:rsidRPr="0054254A">
        <w:rPr>
          <w:rFonts w:hint="eastAsia"/>
          <w:color w:val="000000"/>
          <w:sz w:val="28"/>
          <w:szCs w:val="28"/>
        </w:rPr>
        <w:t>重新签订</w:t>
      </w:r>
      <w:r w:rsidR="0054254A" w:rsidRPr="00FE21FE">
        <w:rPr>
          <w:rFonts w:hint="eastAsia"/>
          <w:color w:val="000000"/>
          <w:sz w:val="28"/>
          <w:szCs w:val="28"/>
        </w:rPr>
        <w:t>《三方协议》和《四方协议》</w:t>
      </w:r>
      <w:r w:rsidR="0054254A">
        <w:rPr>
          <w:rFonts w:hint="eastAsia"/>
          <w:color w:val="000000"/>
          <w:sz w:val="28"/>
          <w:szCs w:val="28"/>
        </w:rPr>
        <w:t>，</w:t>
      </w:r>
      <w:r w:rsidR="00FE21FE" w:rsidRPr="00FE21FE">
        <w:rPr>
          <w:rFonts w:hint="eastAsia"/>
          <w:color w:val="000000"/>
          <w:sz w:val="28"/>
          <w:szCs w:val="28"/>
        </w:rPr>
        <w:t>华创证券未完成的持续督导工作由财通证券承接。</w:t>
      </w:r>
      <w:r>
        <w:rPr>
          <w:rFonts w:hint="eastAsia"/>
          <w:color w:val="000000"/>
          <w:sz w:val="28"/>
          <w:szCs w:val="28"/>
        </w:rPr>
        <w:t>详见</w:t>
      </w:r>
      <w:r w:rsidRPr="00FE21FE">
        <w:rPr>
          <w:rFonts w:hint="eastAsia"/>
          <w:color w:val="000000"/>
          <w:sz w:val="28"/>
          <w:szCs w:val="28"/>
        </w:rPr>
        <w:t>2023</w:t>
      </w:r>
      <w:r w:rsidRPr="00FE21FE">
        <w:rPr>
          <w:rFonts w:hint="eastAsia"/>
          <w:color w:val="000000"/>
          <w:sz w:val="28"/>
          <w:szCs w:val="28"/>
        </w:rPr>
        <w:lastRenderedPageBreak/>
        <w:t>年</w:t>
      </w:r>
      <w:r w:rsidRPr="00FE21FE">
        <w:rPr>
          <w:rFonts w:hint="eastAsia"/>
          <w:color w:val="000000"/>
          <w:sz w:val="28"/>
          <w:szCs w:val="28"/>
        </w:rPr>
        <w:t>6</w:t>
      </w:r>
      <w:r w:rsidRPr="00FE21FE">
        <w:rPr>
          <w:rFonts w:hint="eastAsia"/>
          <w:color w:val="000000"/>
          <w:sz w:val="28"/>
          <w:szCs w:val="28"/>
        </w:rPr>
        <w:t>月</w:t>
      </w:r>
      <w:r w:rsidRPr="00FE21FE">
        <w:rPr>
          <w:rFonts w:hint="eastAsia"/>
          <w:color w:val="000000"/>
          <w:sz w:val="28"/>
          <w:szCs w:val="28"/>
        </w:rPr>
        <w:t>8</w:t>
      </w:r>
      <w:r w:rsidRPr="00FE21FE">
        <w:rPr>
          <w:rFonts w:hint="eastAsia"/>
          <w:color w:val="000000"/>
          <w:sz w:val="28"/>
          <w:szCs w:val="28"/>
        </w:rPr>
        <w:t>日</w:t>
      </w:r>
      <w:r>
        <w:rPr>
          <w:rFonts w:hint="eastAsia"/>
          <w:color w:val="000000"/>
          <w:sz w:val="28"/>
          <w:szCs w:val="28"/>
        </w:rPr>
        <w:t>披露</w:t>
      </w:r>
      <w:r w:rsidRPr="00FE21FE">
        <w:rPr>
          <w:rFonts w:hint="eastAsia"/>
          <w:color w:val="000000"/>
          <w:sz w:val="28"/>
          <w:szCs w:val="28"/>
        </w:rPr>
        <w:t>在上海证券交易所网站（</w:t>
      </w:r>
      <w:r w:rsidRPr="00FE21FE">
        <w:rPr>
          <w:rFonts w:hint="eastAsia"/>
          <w:color w:val="000000"/>
          <w:sz w:val="28"/>
          <w:szCs w:val="28"/>
        </w:rPr>
        <w:t>www.sse.com.cn</w:t>
      </w:r>
      <w:r w:rsidRPr="00FE21FE">
        <w:rPr>
          <w:rFonts w:hint="eastAsia"/>
          <w:color w:val="000000"/>
          <w:sz w:val="28"/>
          <w:szCs w:val="28"/>
        </w:rPr>
        <w:t>）</w:t>
      </w:r>
      <w:r>
        <w:rPr>
          <w:rFonts w:hint="eastAsia"/>
          <w:color w:val="000000"/>
          <w:sz w:val="28"/>
          <w:szCs w:val="28"/>
        </w:rPr>
        <w:t>的</w:t>
      </w:r>
      <w:r w:rsidRPr="00FE21FE">
        <w:rPr>
          <w:rFonts w:hint="eastAsia"/>
          <w:color w:val="000000"/>
          <w:sz w:val="28"/>
          <w:szCs w:val="28"/>
        </w:rPr>
        <w:t>《深圳市有方科技股份有限公司关于变更保荐机构及保荐代表人的公告》（公告编号：</w:t>
      </w:r>
      <w:r w:rsidRPr="00FE21FE">
        <w:rPr>
          <w:rFonts w:hint="eastAsia"/>
          <w:color w:val="000000"/>
          <w:sz w:val="28"/>
          <w:szCs w:val="28"/>
        </w:rPr>
        <w:t>2023-062</w:t>
      </w:r>
      <w:r w:rsidRPr="00FE21FE">
        <w:rPr>
          <w:rFonts w:hint="eastAsia"/>
          <w:color w:val="000000"/>
          <w:sz w:val="28"/>
          <w:szCs w:val="28"/>
        </w:rPr>
        <w:t>）</w:t>
      </w:r>
      <w:r w:rsidR="005112D0">
        <w:rPr>
          <w:rFonts w:hint="eastAsia"/>
          <w:color w:val="000000"/>
          <w:sz w:val="28"/>
          <w:szCs w:val="28"/>
        </w:rPr>
        <w:t>和《</w:t>
      </w:r>
      <w:r w:rsidR="005112D0" w:rsidRPr="005112D0">
        <w:rPr>
          <w:rFonts w:hint="eastAsia"/>
          <w:color w:val="000000"/>
          <w:sz w:val="28"/>
          <w:szCs w:val="28"/>
        </w:rPr>
        <w:t>有方科技：关于变更保荐机构后重新签订募集资金专户存储三方和四方监管协议的公告</w:t>
      </w:r>
      <w:r w:rsidR="005112D0">
        <w:rPr>
          <w:rFonts w:hint="eastAsia"/>
          <w:color w:val="000000"/>
          <w:sz w:val="28"/>
          <w:szCs w:val="28"/>
        </w:rPr>
        <w:t>》</w:t>
      </w:r>
      <w:r w:rsidR="005112D0" w:rsidRPr="00FE21FE">
        <w:rPr>
          <w:rFonts w:hint="eastAsia"/>
          <w:color w:val="000000"/>
          <w:sz w:val="28"/>
          <w:szCs w:val="28"/>
        </w:rPr>
        <w:t>（公告编号：</w:t>
      </w:r>
      <w:r w:rsidR="005112D0" w:rsidRPr="00FE21FE">
        <w:rPr>
          <w:rFonts w:hint="eastAsia"/>
          <w:color w:val="000000"/>
          <w:sz w:val="28"/>
          <w:szCs w:val="28"/>
        </w:rPr>
        <w:t>2023-0</w:t>
      </w:r>
      <w:r w:rsidR="005112D0">
        <w:rPr>
          <w:color w:val="000000"/>
          <w:sz w:val="28"/>
          <w:szCs w:val="28"/>
        </w:rPr>
        <w:t>79</w:t>
      </w:r>
      <w:r w:rsidR="005112D0" w:rsidRPr="00FE21FE">
        <w:rPr>
          <w:rFonts w:hint="eastAsia"/>
          <w:color w:val="000000"/>
          <w:sz w:val="28"/>
          <w:szCs w:val="28"/>
        </w:rPr>
        <w:t>）</w:t>
      </w:r>
      <w:r w:rsidRPr="00FE21FE">
        <w:rPr>
          <w:rFonts w:hint="eastAsia"/>
          <w:color w:val="000000"/>
          <w:sz w:val="28"/>
          <w:szCs w:val="28"/>
        </w:rPr>
        <w:t>。</w:t>
      </w:r>
    </w:p>
    <w:p w14:paraId="4157B735" w14:textId="7B9B9356" w:rsidR="005112D0" w:rsidRPr="0054254A" w:rsidRDefault="005112D0" w:rsidP="0054254A">
      <w:pPr>
        <w:pStyle w:val="a6"/>
        <w:shd w:val="clear" w:color="auto" w:fill="FFFFFF"/>
        <w:spacing w:before="0" w:beforeAutospacing="0" w:after="0" w:afterAutospacing="0" w:line="360" w:lineRule="auto"/>
        <w:ind w:firstLineChars="200" w:firstLine="560"/>
        <w:jc w:val="both"/>
        <w:rPr>
          <w:rFonts w:ascii="Times New Roman" w:hAnsi="Times New Roman" w:cs="Times New Roman"/>
          <w:color w:val="000000"/>
          <w:kern w:val="2"/>
          <w:sz w:val="28"/>
          <w:szCs w:val="28"/>
        </w:rPr>
      </w:pPr>
      <w:r w:rsidRPr="005112D0">
        <w:rPr>
          <w:rFonts w:hint="eastAsia"/>
          <w:color w:val="000000"/>
          <w:sz w:val="28"/>
          <w:szCs w:val="28"/>
        </w:rPr>
        <w:t>2025年1月22日，公司召开第四届董事会第三次会议、第四届监事会第二次会议，审议通过了《关于调整部分募投项目实施计划的议案》，同意公司调整部分募集资金投资项目的内部投资结构和达到预计可使用状态的时间，</w:t>
      </w:r>
      <w:r w:rsidR="0054254A">
        <w:rPr>
          <w:rFonts w:hint="eastAsia"/>
          <w:color w:val="000000"/>
          <w:sz w:val="28"/>
          <w:szCs w:val="28"/>
        </w:rPr>
        <w:t>同时</w:t>
      </w:r>
      <w:r w:rsidRPr="005112D0">
        <w:rPr>
          <w:rFonts w:hint="eastAsia"/>
          <w:color w:val="000000"/>
          <w:sz w:val="28"/>
          <w:szCs w:val="28"/>
        </w:rPr>
        <w:t>增加实施主体和实施地点。</w:t>
      </w:r>
      <w:r w:rsidR="0054254A" w:rsidRPr="00957879">
        <w:rPr>
          <w:rFonts w:ascii="Times New Roman" w:hAnsi="Times New Roman" w:cs="Times New Roman" w:hint="eastAsia"/>
          <w:color w:val="000000"/>
          <w:kern w:val="2"/>
          <w:sz w:val="28"/>
          <w:szCs w:val="28"/>
        </w:rPr>
        <w:t>具体情况详见公司于</w:t>
      </w:r>
      <w:r w:rsidR="0054254A" w:rsidRPr="00957879">
        <w:rPr>
          <w:rFonts w:ascii="Times New Roman" w:hAnsi="Times New Roman" w:cs="Times New Roman" w:hint="eastAsia"/>
          <w:color w:val="000000"/>
          <w:kern w:val="2"/>
          <w:sz w:val="28"/>
          <w:szCs w:val="28"/>
        </w:rPr>
        <w:t>202</w:t>
      </w:r>
      <w:r w:rsidR="0054254A">
        <w:rPr>
          <w:rFonts w:ascii="Times New Roman" w:hAnsi="Times New Roman" w:cs="Times New Roman"/>
          <w:color w:val="000000"/>
          <w:kern w:val="2"/>
          <w:sz w:val="28"/>
          <w:szCs w:val="28"/>
        </w:rPr>
        <w:t>5</w:t>
      </w:r>
      <w:r w:rsidR="0054254A" w:rsidRPr="00957879">
        <w:rPr>
          <w:rFonts w:ascii="Times New Roman" w:hAnsi="Times New Roman" w:cs="Times New Roman" w:hint="eastAsia"/>
          <w:color w:val="000000"/>
          <w:kern w:val="2"/>
          <w:sz w:val="28"/>
          <w:szCs w:val="28"/>
        </w:rPr>
        <w:t>年</w:t>
      </w:r>
      <w:r w:rsidR="0054254A">
        <w:rPr>
          <w:rFonts w:ascii="Times New Roman" w:hAnsi="Times New Roman" w:cs="Times New Roman"/>
          <w:color w:val="000000"/>
          <w:kern w:val="2"/>
          <w:sz w:val="28"/>
          <w:szCs w:val="28"/>
        </w:rPr>
        <w:t>1</w:t>
      </w:r>
      <w:r w:rsidR="0054254A" w:rsidRPr="00957879">
        <w:rPr>
          <w:rFonts w:ascii="Times New Roman" w:hAnsi="Times New Roman" w:cs="Times New Roman" w:hint="eastAsia"/>
          <w:color w:val="000000"/>
          <w:kern w:val="2"/>
          <w:sz w:val="28"/>
          <w:szCs w:val="28"/>
        </w:rPr>
        <w:t>月</w:t>
      </w:r>
      <w:r w:rsidR="0054254A">
        <w:rPr>
          <w:rFonts w:ascii="Times New Roman" w:hAnsi="Times New Roman" w:cs="Times New Roman"/>
          <w:color w:val="000000"/>
          <w:kern w:val="2"/>
          <w:sz w:val="28"/>
          <w:szCs w:val="28"/>
        </w:rPr>
        <w:t>23</w:t>
      </w:r>
      <w:r w:rsidR="0054254A" w:rsidRPr="00957879">
        <w:rPr>
          <w:rFonts w:ascii="Times New Roman" w:hAnsi="Times New Roman" w:cs="Times New Roman" w:hint="eastAsia"/>
          <w:color w:val="000000"/>
          <w:kern w:val="2"/>
          <w:sz w:val="28"/>
          <w:szCs w:val="28"/>
        </w:rPr>
        <w:t>日披露于上海证券交易所网站（</w:t>
      </w:r>
      <w:r w:rsidR="0054254A" w:rsidRPr="00957879">
        <w:rPr>
          <w:rFonts w:ascii="Times New Roman" w:hAnsi="Times New Roman" w:cs="Times New Roman" w:hint="eastAsia"/>
          <w:color w:val="000000"/>
          <w:kern w:val="2"/>
          <w:sz w:val="28"/>
          <w:szCs w:val="28"/>
        </w:rPr>
        <w:t>www.sse.com.cn</w:t>
      </w:r>
      <w:r w:rsidR="0054254A" w:rsidRPr="00957879">
        <w:rPr>
          <w:rFonts w:ascii="Times New Roman" w:hAnsi="Times New Roman" w:cs="Times New Roman" w:hint="eastAsia"/>
          <w:color w:val="000000"/>
          <w:kern w:val="2"/>
          <w:sz w:val="28"/>
          <w:szCs w:val="28"/>
        </w:rPr>
        <w:t>）的《深圳市有方科技股份有限公司关于部分募投项目内部投资结构调整、延期等事项的公告》（</w:t>
      </w:r>
      <w:r w:rsidR="0054254A" w:rsidRPr="00957879">
        <w:rPr>
          <w:rFonts w:ascii="Times New Roman" w:hAnsi="Times New Roman" w:cs="Times New Roman" w:hint="eastAsia"/>
          <w:color w:val="000000"/>
          <w:kern w:val="2"/>
          <w:sz w:val="28"/>
          <w:szCs w:val="28"/>
        </w:rPr>
        <w:t>202</w:t>
      </w:r>
      <w:r w:rsidR="0054254A">
        <w:rPr>
          <w:rFonts w:ascii="Times New Roman" w:hAnsi="Times New Roman" w:cs="Times New Roman"/>
          <w:color w:val="000000"/>
          <w:kern w:val="2"/>
          <w:sz w:val="28"/>
          <w:szCs w:val="28"/>
        </w:rPr>
        <w:t>5</w:t>
      </w:r>
      <w:r w:rsidR="0054254A" w:rsidRPr="00957879">
        <w:rPr>
          <w:rFonts w:ascii="Times New Roman" w:hAnsi="Times New Roman" w:cs="Times New Roman" w:hint="eastAsia"/>
          <w:color w:val="000000"/>
          <w:kern w:val="2"/>
          <w:sz w:val="28"/>
          <w:szCs w:val="28"/>
        </w:rPr>
        <w:t>-00</w:t>
      </w:r>
      <w:r w:rsidR="0054254A">
        <w:rPr>
          <w:rFonts w:ascii="Times New Roman" w:hAnsi="Times New Roman" w:cs="Times New Roman"/>
          <w:color w:val="000000"/>
          <w:kern w:val="2"/>
          <w:sz w:val="28"/>
          <w:szCs w:val="28"/>
        </w:rPr>
        <w:t>6</w:t>
      </w:r>
      <w:r w:rsidR="0054254A" w:rsidRPr="00957879">
        <w:rPr>
          <w:rFonts w:ascii="Times New Roman" w:hAnsi="Times New Roman" w:cs="Times New Roman" w:hint="eastAsia"/>
          <w:color w:val="000000"/>
          <w:kern w:val="2"/>
          <w:sz w:val="28"/>
          <w:szCs w:val="28"/>
        </w:rPr>
        <w:t>）。</w:t>
      </w:r>
    </w:p>
    <w:p w14:paraId="0A32B8FC" w14:textId="77777777" w:rsidR="004B1205" w:rsidRDefault="006A2069" w:rsidP="0054254A">
      <w:pPr>
        <w:spacing w:line="360" w:lineRule="auto"/>
        <w:ind w:firstLineChars="200" w:firstLine="560"/>
        <w:rPr>
          <w:color w:val="000000"/>
          <w:sz w:val="28"/>
          <w:szCs w:val="28"/>
        </w:rPr>
      </w:pPr>
      <w:r w:rsidRPr="00FC19D8">
        <w:rPr>
          <w:rFonts w:hint="eastAsia"/>
          <w:color w:val="000000"/>
          <w:sz w:val="28"/>
          <w:szCs w:val="28"/>
        </w:rPr>
        <w:t>前述协议与上海证券交易所制定的《募集资金专户存储三方监管协议（范本）》不存在重大差异。</w:t>
      </w:r>
    </w:p>
    <w:p w14:paraId="380C7F3F" w14:textId="56EF6127" w:rsidR="006A2069" w:rsidRDefault="00E67349" w:rsidP="0054254A">
      <w:pPr>
        <w:spacing w:line="360" w:lineRule="auto"/>
        <w:ind w:firstLineChars="200" w:firstLine="560"/>
        <w:rPr>
          <w:color w:val="000000"/>
          <w:sz w:val="28"/>
          <w:szCs w:val="28"/>
        </w:rPr>
      </w:pPr>
      <w:r>
        <w:rPr>
          <w:rFonts w:hint="eastAsia"/>
          <w:color w:val="000000"/>
          <w:sz w:val="28"/>
          <w:szCs w:val="28"/>
        </w:rPr>
        <w:t>公司自上市之日起至本公告披露日，因部分募集资金投资项目的募集资金</w:t>
      </w:r>
      <w:r w:rsidR="00145910">
        <w:rPr>
          <w:rFonts w:hint="eastAsia"/>
          <w:color w:val="000000"/>
          <w:sz w:val="28"/>
          <w:szCs w:val="28"/>
        </w:rPr>
        <w:t>已经</w:t>
      </w:r>
      <w:r>
        <w:rPr>
          <w:rFonts w:hint="eastAsia"/>
          <w:color w:val="000000"/>
          <w:sz w:val="28"/>
          <w:szCs w:val="28"/>
        </w:rPr>
        <w:t>使用完毕，公司注销了部分募集资金</w:t>
      </w:r>
      <w:r w:rsidR="00994465">
        <w:rPr>
          <w:rFonts w:hint="eastAsia"/>
          <w:color w:val="000000"/>
          <w:sz w:val="28"/>
          <w:szCs w:val="28"/>
        </w:rPr>
        <w:t>专</w:t>
      </w:r>
      <w:r w:rsidR="00E14F62">
        <w:rPr>
          <w:rFonts w:hint="eastAsia"/>
          <w:color w:val="000000"/>
          <w:sz w:val="28"/>
          <w:szCs w:val="28"/>
        </w:rPr>
        <w:t>用</w:t>
      </w:r>
      <w:r>
        <w:rPr>
          <w:rFonts w:hint="eastAsia"/>
          <w:color w:val="000000"/>
          <w:sz w:val="28"/>
          <w:szCs w:val="28"/>
        </w:rPr>
        <w:t>账户，详见公司此前发布的相关公告。</w:t>
      </w:r>
    </w:p>
    <w:p w14:paraId="72AFE849" w14:textId="6A931D1C" w:rsidR="006B50E6" w:rsidRDefault="00067C9C" w:rsidP="0054254A">
      <w:pPr>
        <w:spacing w:line="360" w:lineRule="auto"/>
        <w:ind w:firstLineChars="200" w:firstLine="560"/>
        <w:rPr>
          <w:color w:val="000000"/>
          <w:sz w:val="28"/>
          <w:szCs w:val="28"/>
        </w:rPr>
      </w:pPr>
      <w:r w:rsidRPr="00067C9C">
        <w:rPr>
          <w:rFonts w:hint="eastAsia"/>
          <w:color w:val="000000"/>
          <w:sz w:val="28"/>
          <w:szCs w:val="28"/>
        </w:rPr>
        <w:t>近日，公司</w:t>
      </w:r>
      <w:r>
        <w:rPr>
          <w:rFonts w:hint="eastAsia"/>
          <w:color w:val="000000"/>
          <w:sz w:val="28"/>
          <w:szCs w:val="28"/>
        </w:rPr>
        <w:t>新增</w:t>
      </w:r>
      <w:r w:rsidRPr="00067C9C">
        <w:rPr>
          <w:rFonts w:hint="eastAsia"/>
          <w:color w:val="000000"/>
          <w:sz w:val="28"/>
          <w:szCs w:val="28"/>
        </w:rPr>
        <w:t>募集资金专项账户并签订了募集资金三方监管协议</w:t>
      </w:r>
      <w:r>
        <w:rPr>
          <w:rFonts w:hint="eastAsia"/>
          <w:color w:val="000000"/>
          <w:sz w:val="28"/>
          <w:szCs w:val="28"/>
        </w:rPr>
        <w:t>情况如下</w:t>
      </w:r>
      <w:r w:rsidR="00DC582F" w:rsidRPr="00BC57B3">
        <w:rPr>
          <w:rFonts w:hint="eastAsia"/>
          <w:color w:val="000000"/>
          <w:sz w:val="28"/>
          <w:szCs w:val="28"/>
        </w:rPr>
        <w:t>：</w:t>
      </w:r>
    </w:p>
    <w:p w14:paraId="1DD81299" w14:textId="4B2BDA37" w:rsidR="008E1CC0" w:rsidRPr="00087C4B" w:rsidRDefault="008E1CC0" w:rsidP="00087C4B">
      <w:pPr>
        <w:spacing w:line="360" w:lineRule="auto"/>
        <w:jc w:val="right"/>
        <w:rPr>
          <w:szCs w:val="21"/>
        </w:rPr>
      </w:pPr>
      <w:r w:rsidRPr="00087C4B">
        <w:rPr>
          <w:rFonts w:hint="eastAsia"/>
          <w:szCs w:val="21"/>
        </w:rPr>
        <w:t>单位：人民币元</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0"/>
        <w:gridCol w:w="1984"/>
        <w:gridCol w:w="1560"/>
        <w:gridCol w:w="1701"/>
        <w:gridCol w:w="1061"/>
      </w:tblGrid>
      <w:tr w:rsidR="00FC19D8" w:rsidRPr="00C87412" w14:paraId="4837CA6E" w14:textId="38754C61" w:rsidTr="00295C19">
        <w:tc>
          <w:tcPr>
            <w:tcW w:w="1970" w:type="dxa"/>
            <w:shd w:val="clear" w:color="auto" w:fill="auto"/>
            <w:vAlign w:val="center"/>
          </w:tcPr>
          <w:p w14:paraId="4312BBAF" w14:textId="7F5D11D2" w:rsidR="00FC19D8" w:rsidRPr="00D80E09" w:rsidRDefault="008E1CC0" w:rsidP="00A82CB9">
            <w:pPr>
              <w:spacing w:line="360" w:lineRule="auto"/>
              <w:jc w:val="center"/>
              <w:rPr>
                <w:szCs w:val="21"/>
              </w:rPr>
            </w:pPr>
            <w:r w:rsidRPr="008E1CC0">
              <w:rPr>
                <w:rFonts w:hint="eastAsia"/>
                <w:szCs w:val="21"/>
              </w:rPr>
              <w:t>募投项目实施主体</w:t>
            </w:r>
          </w:p>
        </w:tc>
        <w:tc>
          <w:tcPr>
            <w:tcW w:w="1984" w:type="dxa"/>
            <w:shd w:val="clear" w:color="auto" w:fill="auto"/>
            <w:vAlign w:val="center"/>
          </w:tcPr>
          <w:p w14:paraId="40B70496" w14:textId="648EF11B" w:rsidR="00FC19D8" w:rsidRPr="00D80E09" w:rsidRDefault="00FC19D8" w:rsidP="00A82CB9">
            <w:pPr>
              <w:spacing w:line="360" w:lineRule="auto"/>
              <w:jc w:val="center"/>
              <w:rPr>
                <w:szCs w:val="21"/>
              </w:rPr>
            </w:pPr>
            <w:r w:rsidRPr="00D80E09">
              <w:rPr>
                <w:rFonts w:hint="eastAsia"/>
                <w:szCs w:val="21"/>
              </w:rPr>
              <w:t>开户</w:t>
            </w:r>
            <w:r w:rsidRPr="00D80E09">
              <w:rPr>
                <w:szCs w:val="21"/>
              </w:rPr>
              <w:t>银行</w:t>
            </w:r>
          </w:p>
        </w:tc>
        <w:tc>
          <w:tcPr>
            <w:tcW w:w="1560" w:type="dxa"/>
            <w:vAlign w:val="center"/>
          </w:tcPr>
          <w:p w14:paraId="149BCBC6" w14:textId="43B7763C" w:rsidR="00FC19D8" w:rsidRPr="00D80E09" w:rsidRDefault="00FC19D8" w:rsidP="00A82CB9">
            <w:pPr>
              <w:spacing w:line="360" w:lineRule="auto"/>
              <w:jc w:val="center"/>
              <w:rPr>
                <w:szCs w:val="21"/>
              </w:rPr>
            </w:pPr>
            <w:r w:rsidRPr="00D80E09">
              <w:rPr>
                <w:rFonts w:hint="eastAsia"/>
                <w:szCs w:val="21"/>
              </w:rPr>
              <w:t>银行账号</w:t>
            </w:r>
          </w:p>
        </w:tc>
        <w:tc>
          <w:tcPr>
            <w:tcW w:w="1701" w:type="dxa"/>
            <w:vAlign w:val="center"/>
          </w:tcPr>
          <w:p w14:paraId="7FAD3C01" w14:textId="04CDE8BA" w:rsidR="00FC19D8" w:rsidRPr="00D80E09" w:rsidRDefault="00DF0616" w:rsidP="003809EC">
            <w:pPr>
              <w:spacing w:line="360" w:lineRule="auto"/>
              <w:jc w:val="center"/>
              <w:rPr>
                <w:szCs w:val="21"/>
              </w:rPr>
            </w:pPr>
            <w:r w:rsidRPr="003809EC">
              <w:rPr>
                <w:rFonts w:hint="eastAsia"/>
                <w:szCs w:val="21"/>
              </w:rPr>
              <w:t>截至</w:t>
            </w:r>
            <w:r w:rsidRPr="003809EC">
              <w:rPr>
                <w:rFonts w:hint="eastAsia"/>
                <w:szCs w:val="21"/>
              </w:rPr>
              <w:t>2</w:t>
            </w:r>
            <w:r w:rsidRPr="003809EC">
              <w:rPr>
                <w:szCs w:val="21"/>
              </w:rPr>
              <w:t>02</w:t>
            </w:r>
            <w:r w:rsidR="00C65AF1" w:rsidRPr="003809EC">
              <w:rPr>
                <w:szCs w:val="21"/>
              </w:rPr>
              <w:t>5</w:t>
            </w:r>
            <w:r w:rsidRPr="003809EC">
              <w:rPr>
                <w:rFonts w:hint="eastAsia"/>
                <w:szCs w:val="21"/>
              </w:rPr>
              <w:t>年</w:t>
            </w:r>
            <w:r w:rsidR="00C65AF1" w:rsidRPr="003809EC">
              <w:rPr>
                <w:szCs w:val="21"/>
              </w:rPr>
              <w:t>2</w:t>
            </w:r>
            <w:r w:rsidRPr="003809EC">
              <w:rPr>
                <w:rFonts w:hint="eastAsia"/>
                <w:szCs w:val="21"/>
              </w:rPr>
              <w:t>月</w:t>
            </w:r>
            <w:r w:rsidR="00AD7593" w:rsidRPr="003809EC">
              <w:rPr>
                <w:szCs w:val="21"/>
              </w:rPr>
              <w:t>2</w:t>
            </w:r>
            <w:r w:rsidR="003809EC" w:rsidRPr="003809EC">
              <w:rPr>
                <w:szCs w:val="21"/>
              </w:rPr>
              <w:t>1</w:t>
            </w:r>
            <w:r w:rsidRPr="003809EC">
              <w:rPr>
                <w:rFonts w:hint="eastAsia"/>
                <w:szCs w:val="21"/>
              </w:rPr>
              <w:t>日募集资金</w:t>
            </w:r>
            <w:r w:rsidR="00E84D81" w:rsidRPr="00D80E09">
              <w:rPr>
                <w:rFonts w:hint="eastAsia"/>
                <w:szCs w:val="21"/>
              </w:rPr>
              <w:t>专户</w:t>
            </w:r>
            <w:r>
              <w:rPr>
                <w:rFonts w:hint="eastAsia"/>
                <w:szCs w:val="21"/>
              </w:rPr>
              <w:t>的</w:t>
            </w:r>
            <w:r w:rsidR="00E84D81" w:rsidRPr="00D80E09">
              <w:rPr>
                <w:rFonts w:hint="eastAsia"/>
                <w:szCs w:val="21"/>
              </w:rPr>
              <w:t>余额</w:t>
            </w:r>
          </w:p>
        </w:tc>
        <w:tc>
          <w:tcPr>
            <w:tcW w:w="1061" w:type="dxa"/>
            <w:vAlign w:val="center"/>
          </w:tcPr>
          <w:p w14:paraId="36AF60AC" w14:textId="184F5C9D" w:rsidR="00FC19D8" w:rsidRPr="00D80E09" w:rsidRDefault="00D80E09" w:rsidP="00A82CB9">
            <w:pPr>
              <w:spacing w:line="360" w:lineRule="auto"/>
              <w:jc w:val="center"/>
              <w:rPr>
                <w:szCs w:val="21"/>
              </w:rPr>
            </w:pPr>
            <w:r w:rsidRPr="00D80E09">
              <w:rPr>
                <w:rFonts w:hint="eastAsia"/>
                <w:szCs w:val="21"/>
              </w:rPr>
              <w:t>专项用途</w:t>
            </w:r>
          </w:p>
        </w:tc>
      </w:tr>
      <w:tr w:rsidR="00FC19D8" w:rsidRPr="00C87412" w14:paraId="616A7000" w14:textId="600E0AD3" w:rsidTr="00295C19">
        <w:tc>
          <w:tcPr>
            <w:tcW w:w="1970" w:type="dxa"/>
            <w:shd w:val="clear" w:color="auto" w:fill="auto"/>
            <w:vAlign w:val="center"/>
          </w:tcPr>
          <w:p w14:paraId="5278AD05" w14:textId="018CE9F8" w:rsidR="00FC19D8" w:rsidRPr="00D80E09" w:rsidRDefault="00153DD0" w:rsidP="00A82CB9">
            <w:pPr>
              <w:spacing w:line="360" w:lineRule="auto"/>
              <w:jc w:val="center"/>
              <w:rPr>
                <w:szCs w:val="21"/>
              </w:rPr>
            </w:pPr>
            <w:r w:rsidRPr="00153DD0">
              <w:rPr>
                <w:rFonts w:hint="eastAsia"/>
                <w:szCs w:val="21"/>
              </w:rPr>
              <w:lastRenderedPageBreak/>
              <w:t>深圳市有方科技股份有限公司</w:t>
            </w:r>
          </w:p>
        </w:tc>
        <w:tc>
          <w:tcPr>
            <w:tcW w:w="1984" w:type="dxa"/>
            <w:shd w:val="clear" w:color="auto" w:fill="auto"/>
            <w:vAlign w:val="center"/>
          </w:tcPr>
          <w:p w14:paraId="7A9280F7" w14:textId="23B059D7" w:rsidR="00FC19D8" w:rsidRPr="00C65AF1" w:rsidRDefault="0054517B" w:rsidP="00A82CB9">
            <w:pPr>
              <w:spacing w:line="360" w:lineRule="auto"/>
              <w:jc w:val="center"/>
              <w:rPr>
                <w:szCs w:val="21"/>
                <w:highlight w:val="yellow"/>
              </w:rPr>
            </w:pPr>
            <w:r w:rsidRPr="0054517B">
              <w:rPr>
                <w:rFonts w:hint="eastAsia"/>
                <w:szCs w:val="21"/>
              </w:rPr>
              <w:t>广东华兴银行股份有限公司深圳分行</w:t>
            </w:r>
          </w:p>
        </w:tc>
        <w:tc>
          <w:tcPr>
            <w:tcW w:w="1560" w:type="dxa"/>
            <w:vAlign w:val="center"/>
          </w:tcPr>
          <w:p w14:paraId="4BD7121F" w14:textId="6B97871D" w:rsidR="00FC19D8" w:rsidRPr="00C65AF1" w:rsidRDefault="0054517B" w:rsidP="00A82CB9">
            <w:pPr>
              <w:spacing w:line="360" w:lineRule="auto"/>
              <w:jc w:val="center"/>
              <w:rPr>
                <w:szCs w:val="21"/>
                <w:highlight w:val="yellow"/>
              </w:rPr>
            </w:pPr>
            <w:r w:rsidRPr="0054517B">
              <w:rPr>
                <w:szCs w:val="21"/>
              </w:rPr>
              <w:t>210001666235</w:t>
            </w:r>
          </w:p>
        </w:tc>
        <w:tc>
          <w:tcPr>
            <w:tcW w:w="1701" w:type="dxa"/>
            <w:vAlign w:val="center"/>
          </w:tcPr>
          <w:p w14:paraId="2949E310" w14:textId="61738AA9" w:rsidR="00FC19D8" w:rsidRPr="00C65AF1" w:rsidRDefault="0054517B" w:rsidP="00A82CB9">
            <w:pPr>
              <w:spacing w:line="360" w:lineRule="auto"/>
              <w:jc w:val="center"/>
              <w:rPr>
                <w:szCs w:val="21"/>
                <w:highlight w:val="yellow"/>
              </w:rPr>
            </w:pPr>
            <w:r w:rsidRPr="0054517B">
              <w:rPr>
                <w:szCs w:val="21"/>
              </w:rPr>
              <w:t>0.00</w:t>
            </w:r>
          </w:p>
        </w:tc>
        <w:tc>
          <w:tcPr>
            <w:tcW w:w="1061" w:type="dxa"/>
            <w:vAlign w:val="center"/>
          </w:tcPr>
          <w:p w14:paraId="5F7BD21A" w14:textId="3DF362EC" w:rsidR="00FC19D8" w:rsidRPr="00D80E09" w:rsidRDefault="00C65AF1" w:rsidP="00A82CB9">
            <w:pPr>
              <w:spacing w:line="360" w:lineRule="auto"/>
              <w:jc w:val="center"/>
              <w:rPr>
                <w:szCs w:val="21"/>
              </w:rPr>
            </w:pPr>
            <w:r w:rsidRPr="00B5224E">
              <w:rPr>
                <w:rFonts w:hint="eastAsia"/>
                <w:szCs w:val="21"/>
              </w:rPr>
              <w:t>研发总部项目</w:t>
            </w:r>
          </w:p>
        </w:tc>
      </w:tr>
    </w:tbl>
    <w:p w14:paraId="317431F3" w14:textId="30D4767A" w:rsidR="00DF0616" w:rsidRPr="00087C4B" w:rsidRDefault="00DF0616" w:rsidP="00087C4B">
      <w:pPr>
        <w:spacing w:line="360" w:lineRule="auto"/>
        <w:ind w:firstLineChars="200" w:firstLine="560"/>
        <w:rPr>
          <w:color w:val="000000"/>
          <w:sz w:val="28"/>
          <w:szCs w:val="28"/>
        </w:rPr>
      </w:pPr>
      <w:r w:rsidRPr="00087C4B">
        <w:rPr>
          <w:rFonts w:hint="eastAsia"/>
          <w:color w:val="000000"/>
          <w:sz w:val="28"/>
          <w:szCs w:val="28"/>
        </w:rPr>
        <w:t>公司</w:t>
      </w:r>
      <w:r w:rsidR="004E51BB">
        <w:rPr>
          <w:rFonts w:hint="eastAsia"/>
          <w:color w:val="000000"/>
          <w:sz w:val="28"/>
          <w:szCs w:val="28"/>
        </w:rPr>
        <w:t>作为募投项目的实施主体，</w:t>
      </w:r>
      <w:r w:rsidR="00F0227A">
        <w:rPr>
          <w:rFonts w:hint="eastAsia"/>
          <w:color w:val="000000"/>
          <w:sz w:val="28"/>
          <w:szCs w:val="28"/>
        </w:rPr>
        <w:t>本次</w:t>
      </w:r>
      <w:r w:rsidR="004E51BB">
        <w:rPr>
          <w:rFonts w:hint="eastAsia"/>
          <w:color w:val="000000"/>
          <w:sz w:val="28"/>
          <w:szCs w:val="28"/>
        </w:rPr>
        <w:t>与财通证券及</w:t>
      </w:r>
      <w:r w:rsidR="0054254A">
        <w:rPr>
          <w:rFonts w:hint="eastAsia"/>
          <w:color w:val="000000"/>
          <w:sz w:val="28"/>
          <w:szCs w:val="28"/>
        </w:rPr>
        <w:t>新增专用账户的</w:t>
      </w:r>
      <w:r w:rsidR="00F0227A">
        <w:rPr>
          <w:rFonts w:hint="eastAsia"/>
          <w:color w:val="000000"/>
          <w:sz w:val="28"/>
          <w:szCs w:val="28"/>
        </w:rPr>
        <w:t>募集资金监管银行</w:t>
      </w:r>
      <w:r w:rsidR="00F0227A" w:rsidRPr="00F0227A">
        <w:rPr>
          <w:rFonts w:hint="eastAsia"/>
          <w:color w:val="000000"/>
          <w:sz w:val="28"/>
          <w:szCs w:val="28"/>
        </w:rPr>
        <w:t>签订了</w:t>
      </w:r>
      <w:r w:rsidR="00F0227A">
        <w:rPr>
          <w:rFonts w:hint="eastAsia"/>
          <w:color w:val="000000"/>
          <w:sz w:val="28"/>
          <w:szCs w:val="28"/>
        </w:rPr>
        <w:t>《三方协议》。</w:t>
      </w:r>
    </w:p>
    <w:p w14:paraId="5658F8F8" w14:textId="61D1E21D" w:rsidR="0044575E" w:rsidRPr="00D81A88" w:rsidRDefault="0044575E" w:rsidP="002C4401">
      <w:pPr>
        <w:spacing w:line="360" w:lineRule="auto"/>
        <w:ind w:firstLineChars="200" w:firstLine="562"/>
        <w:rPr>
          <w:b/>
          <w:bCs/>
          <w:color w:val="000000"/>
          <w:sz w:val="28"/>
          <w:szCs w:val="28"/>
        </w:rPr>
      </w:pPr>
      <w:r w:rsidRPr="00D81A88">
        <w:rPr>
          <w:rFonts w:ascii="宋体" w:hAnsi="宋体" w:cs="宋体" w:hint="eastAsia"/>
          <w:b/>
          <w:color w:val="000000"/>
          <w:kern w:val="0"/>
          <w:sz w:val="28"/>
          <w:szCs w:val="28"/>
        </w:rPr>
        <w:t>三、</w:t>
      </w:r>
      <w:r w:rsidR="00E84D81">
        <w:rPr>
          <w:rFonts w:ascii="宋体" w:hAnsi="宋体" w:cs="宋体" w:hint="eastAsia"/>
          <w:b/>
          <w:color w:val="000000"/>
          <w:kern w:val="0"/>
          <w:sz w:val="28"/>
          <w:szCs w:val="28"/>
        </w:rPr>
        <w:t>《三方协议》的主要内容</w:t>
      </w:r>
    </w:p>
    <w:p w14:paraId="5911A442" w14:textId="32A10B2A" w:rsidR="00E84D81" w:rsidRPr="00C64DBC" w:rsidRDefault="00E84D81" w:rsidP="00E84D81">
      <w:pPr>
        <w:spacing w:line="360" w:lineRule="auto"/>
        <w:ind w:firstLineChars="200" w:firstLine="560"/>
        <w:rPr>
          <w:color w:val="000000"/>
          <w:sz w:val="28"/>
          <w:szCs w:val="28"/>
        </w:rPr>
      </w:pPr>
      <w:r w:rsidRPr="00C64DBC">
        <w:rPr>
          <w:rFonts w:hint="eastAsia"/>
          <w:color w:val="000000"/>
          <w:sz w:val="28"/>
          <w:szCs w:val="28"/>
        </w:rPr>
        <w:t>（一）《三方协议》的主要内容</w:t>
      </w:r>
    </w:p>
    <w:p w14:paraId="2E5F6DEF" w14:textId="7E510E81" w:rsidR="00436015" w:rsidRPr="00C64DBC" w:rsidRDefault="00E84D81" w:rsidP="00C64DBC">
      <w:pPr>
        <w:spacing w:line="360" w:lineRule="auto"/>
        <w:ind w:firstLineChars="200" w:firstLine="560"/>
        <w:rPr>
          <w:color w:val="000000"/>
          <w:sz w:val="28"/>
          <w:szCs w:val="28"/>
        </w:rPr>
      </w:pPr>
      <w:r w:rsidRPr="00C64DBC">
        <w:rPr>
          <w:rFonts w:hint="eastAsia"/>
          <w:color w:val="000000"/>
          <w:sz w:val="28"/>
          <w:szCs w:val="28"/>
        </w:rPr>
        <w:t>甲方：深圳市有方科技股份有限公司（以下简称“甲方”）</w:t>
      </w:r>
    </w:p>
    <w:p w14:paraId="27585695" w14:textId="3E5924E1" w:rsidR="00E84D81" w:rsidRPr="00C64DBC" w:rsidRDefault="00E84D81" w:rsidP="00E84D81">
      <w:pPr>
        <w:spacing w:line="360" w:lineRule="auto"/>
        <w:ind w:firstLineChars="200" w:firstLine="560"/>
        <w:rPr>
          <w:color w:val="000000"/>
          <w:sz w:val="28"/>
          <w:szCs w:val="28"/>
        </w:rPr>
      </w:pPr>
      <w:r w:rsidRPr="00C64DBC">
        <w:rPr>
          <w:rFonts w:hint="eastAsia"/>
          <w:color w:val="000000"/>
          <w:sz w:val="28"/>
          <w:szCs w:val="28"/>
        </w:rPr>
        <w:t>乙方：</w:t>
      </w:r>
      <w:r w:rsidR="0054517B" w:rsidRPr="0054517B">
        <w:rPr>
          <w:rFonts w:hint="eastAsia"/>
          <w:color w:val="000000"/>
          <w:sz w:val="28"/>
          <w:szCs w:val="28"/>
        </w:rPr>
        <w:t>广东华兴银行股份有限公司深圳分行</w:t>
      </w:r>
      <w:r w:rsidRPr="00C64DBC">
        <w:rPr>
          <w:rFonts w:hint="eastAsia"/>
          <w:color w:val="000000"/>
          <w:sz w:val="28"/>
          <w:szCs w:val="28"/>
        </w:rPr>
        <w:t>（以下简称“乙方”）</w:t>
      </w:r>
    </w:p>
    <w:p w14:paraId="71FA435F" w14:textId="1A90F4EB" w:rsidR="00E84D81" w:rsidRPr="00C64DBC" w:rsidRDefault="00E84D81" w:rsidP="00E84D81">
      <w:pPr>
        <w:spacing w:line="360" w:lineRule="auto"/>
        <w:ind w:firstLineChars="200" w:firstLine="560"/>
        <w:rPr>
          <w:color w:val="000000"/>
          <w:sz w:val="28"/>
          <w:szCs w:val="28"/>
        </w:rPr>
      </w:pPr>
      <w:r w:rsidRPr="00C64DBC">
        <w:rPr>
          <w:rFonts w:hint="eastAsia"/>
          <w:color w:val="000000"/>
          <w:sz w:val="28"/>
          <w:szCs w:val="28"/>
        </w:rPr>
        <w:t>丙方：财通证券股份有限公司（保荐机构）（以下简称“丙方”</w:t>
      </w:r>
      <w:r w:rsidRPr="00C64DBC">
        <w:rPr>
          <w:rFonts w:hint="eastAsia"/>
          <w:color w:val="000000"/>
          <w:sz w:val="28"/>
          <w:szCs w:val="28"/>
        </w:rPr>
        <w:t xml:space="preserve"> </w:t>
      </w:r>
      <w:r w:rsidRPr="00C64DBC">
        <w:rPr>
          <w:rFonts w:hint="eastAsia"/>
          <w:color w:val="000000"/>
          <w:sz w:val="28"/>
          <w:szCs w:val="28"/>
        </w:rPr>
        <w:t>）</w:t>
      </w:r>
    </w:p>
    <w:p w14:paraId="3B4CCEC7" w14:textId="79DBA216" w:rsidR="00E84D81" w:rsidRPr="00C64DBC" w:rsidRDefault="00E84D81" w:rsidP="00E84D81">
      <w:pPr>
        <w:spacing w:line="360" w:lineRule="auto"/>
        <w:ind w:firstLineChars="200" w:firstLine="560"/>
        <w:rPr>
          <w:color w:val="000000"/>
          <w:sz w:val="28"/>
          <w:szCs w:val="28"/>
        </w:rPr>
      </w:pPr>
      <w:r w:rsidRPr="00C64DBC">
        <w:rPr>
          <w:rFonts w:hint="eastAsia"/>
          <w:color w:val="000000"/>
          <w:sz w:val="28"/>
          <w:szCs w:val="28"/>
        </w:rPr>
        <w:t>为规范甲方募集资金管理，保护投资者的权益，根据有关法律法规及《上海证券交易所科创板上市公司自律监管指引第</w:t>
      </w:r>
      <w:r w:rsidRPr="00C64DBC">
        <w:rPr>
          <w:rFonts w:hint="eastAsia"/>
          <w:color w:val="000000"/>
          <w:sz w:val="28"/>
          <w:szCs w:val="28"/>
        </w:rPr>
        <w:t>1</w:t>
      </w:r>
      <w:r w:rsidRPr="00C64DBC">
        <w:rPr>
          <w:rFonts w:hint="eastAsia"/>
          <w:color w:val="000000"/>
          <w:sz w:val="28"/>
          <w:szCs w:val="28"/>
        </w:rPr>
        <w:t>号——规范运作》，各方经协商，达成如下协议：</w:t>
      </w:r>
    </w:p>
    <w:p w14:paraId="2865EEE9" w14:textId="0B58102F" w:rsidR="00E84D81" w:rsidRPr="00C64DBC" w:rsidRDefault="00E84D81" w:rsidP="00E84D81">
      <w:pPr>
        <w:spacing w:line="360" w:lineRule="auto"/>
        <w:ind w:firstLineChars="200" w:firstLine="560"/>
        <w:rPr>
          <w:color w:val="000000"/>
          <w:sz w:val="28"/>
          <w:szCs w:val="28"/>
        </w:rPr>
      </w:pPr>
      <w:r w:rsidRPr="00C64DBC">
        <w:rPr>
          <w:rFonts w:hint="eastAsia"/>
          <w:color w:val="000000"/>
          <w:sz w:val="28"/>
          <w:szCs w:val="28"/>
        </w:rPr>
        <w:t>1</w:t>
      </w:r>
      <w:r w:rsidRPr="00C64DBC">
        <w:rPr>
          <w:rFonts w:hint="eastAsia"/>
          <w:color w:val="000000"/>
          <w:sz w:val="28"/>
          <w:szCs w:val="28"/>
        </w:rPr>
        <w:t>、甲方已在乙方开设募集资金专项账户（以下简称“专户”），该专户仅用于</w:t>
      </w:r>
      <w:r w:rsidR="0054517B">
        <w:rPr>
          <w:rFonts w:hint="eastAsia"/>
          <w:color w:val="000000"/>
          <w:sz w:val="28"/>
          <w:szCs w:val="28"/>
        </w:rPr>
        <w:t>甲方研发总部项目</w:t>
      </w:r>
      <w:r w:rsidR="0054517B" w:rsidRPr="0054517B">
        <w:rPr>
          <w:rFonts w:hint="eastAsia"/>
          <w:color w:val="000000"/>
          <w:sz w:val="28"/>
          <w:szCs w:val="28"/>
        </w:rPr>
        <w:t>募集资金的存储和使用</w:t>
      </w:r>
      <w:r w:rsidRPr="00C64DBC">
        <w:rPr>
          <w:rFonts w:hint="eastAsia"/>
          <w:color w:val="000000"/>
          <w:sz w:val="28"/>
          <w:szCs w:val="28"/>
        </w:rPr>
        <w:t>，不得用作其他用途。</w:t>
      </w:r>
    </w:p>
    <w:p w14:paraId="3A7AA134" w14:textId="2558A75B" w:rsidR="00E84D81" w:rsidRPr="00F70C01" w:rsidRDefault="00F70C01" w:rsidP="00E84D81">
      <w:pPr>
        <w:spacing w:line="360" w:lineRule="auto"/>
        <w:ind w:firstLineChars="200" w:firstLine="560"/>
        <w:rPr>
          <w:color w:val="000000"/>
          <w:sz w:val="28"/>
          <w:szCs w:val="28"/>
        </w:rPr>
      </w:pPr>
      <w:r>
        <w:rPr>
          <w:color w:val="000000"/>
          <w:sz w:val="28"/>
          <w:szCs w:val="28"/>
        </w:rPr>
        <w:t>2</w:t>
      </w:r>
      <w:r w:rsidR="00E84D81" w:rsidRPr="00F70C01">
        <w:rPr>
          <w:rFonts w:hint="eastAsia"/>
          <w:color w:val="000000"/>
          <w:sz w:val="28"/>
          <w:szCs w:val="28"/>
        </w:rPr>
        <w:t>、甲乙双方应当共同遵守《中华人民共和国票据法》、《支付结算办法》、《人民币银行结算账户管理办法》等法律、法规、规章。</w:t>
      </w:r>
    </w:p>
    <w:p w14:paraId="13A61AF7" w14:textId="3BE3D05D" w:rsidR="00E84D81" w:rsidRPr="00E84D81" w:rsidRDefault="00F70C01" w:rsidP="00F70C01">
      <w:pPr>
        <w:spacing w:line="360" w:lineRule="auto"/>
        <w:ind w:firstLineChars="200" w:firstLine="560"/>
        <w:rPr>
          <w:color w:val="000000"/>
          <w:sz w:val="28"/>
          <w:szCs w:val="28"/>
          <w:highlight w:val="yellow"/>
        </w:rPr>
      </w:pPr>
      <w:r>
        <w:rPr>
          <w:color w:val="000000"/>
          <w:sz w:val="28"/>
          <w:szCs w:val="28"/>
        </w:rPr>
        <w:t>3</w:t>
      </w:r>
      <w:r w:rsidR="00E84D81" w:rsidRPr="00F70C01">
        <w:rPr>
          <w:rFonts w:hint="eastAsia"/>
          <w:color w:val="000000"/>
          <w:sz w:val="28"/>
          <w:szCs w:val="28"/>
        </w:rPr>
        <w:t>、丙方作为甲方的保荐机构，应当依据有关规定指定保荐代表人或其他工作人员对甲方募集资金使用情况进行监督。丙方</w:t>
      </w:r>
      <w:r w:rsidRPr="00F70C01">
        <w:rPr>
          <w:rFonts w:hint="eastAsia"/>
          <w:color w:val="000000"/>
          <w:sz w:val="28"/>
          <w:szCs w:val="28"/>
        </w:rPr>
        <w:t>应当依据《上海证券交易所科创板上市公司自律监管指引第</w:t>
      </w:r>
      <w:r w:rsidRPr="00F70C01">
        <w:rPr>
          <w:rFonts w:hint="eastAsia"/>
          <w:color w:val="000000"/>
          <w:sz w:val="28"/>
          <w:szCs w:val="28"/>
        </w:rPr>
        <w:t>1</w:t>
      </w:r>
      <w:r w:rsidRPr="00F70C01">
        <w:rPr>
          <w:rFonts w:hint="eastAsia"/>
          <w:color w:val="000000"/>
          <w:sz w:val="28"/>
          <w:szCs w:val="28"/>
        </w:rPr>
        <w:t>号——规范运作》以及甲方制订的募集资金管理制度履行其督导职责，并有权采取现场调查、书面问询等方式行使其监督权。甲方和乙方应当配合丙方</w:t>
      </w:r>
      <w:r w:rsidRPr="00F70C01">
        <w:rPr>
          <w:rFonts w:hint="eastAsia"/>
          <w:color w:val="000000"/>
          <w:sz w:val="28"/>
          <w:szCs w:val="28"/>
        </w:rPr>
        <w:lastRenderedPageBreak/>
        <w:t>的调查与查询。丙方每半年对甲方募集资金的存放和使用情况进行一次现场检查。</w:t>
      </w:r>
    </w:p>
    <w:p w14:paraId="5465EB58" w14:textId="6C41DAA6" w:rsidR="00E84D81" w:rsidRPr="00F70C01" w:rsidRDefault="00F70C01" w:rsidP="00E84D81">
      <w:pPr>
        <w:spacing w:line="360" w:lineRule="auto"/>
        <w:ind w:firstLineChars="200" w:firstLine="560"/>
        <w:rPr>
          <w:color w:val="000000"/>
          <w:sz w:val="28"/>
          <w:szCs w:val="28"/>
        </w:rPr>
      </w:pPr>
      <w:r>
        <w:rPr>
          <w:color w:val="000000"/>
          <w:sz w:val="28"/>
          <w:szCs w:val="28"/>
        </w:rPr>
        <w:t>4</w:t>
      </w:r>
      <w:r w:rsidR="00E84D81" w:rsidRPr="00F70C01">
        <w:rPr>
          <w:rFonts w:hint="eastAsia"/>
          <w:color w:val="000000"/>
          <w:sz w:val="28"/>
          <w:szCs w:val="28"/>
        </w:rPr>
        <w:t>、甲方授权丙方指定的保荐代表人</w:t>
      </w:r>
      <w:r w:rsidRPr="00F70C01">
        <w:rPr>
          <w:rFonts w:hint="eastAsia"/>
          <w:color w:val="000000"/>
          <w:sz w:val="28"/>
          <w:szCs w:val="28"/>
        </w:rPr>
        <w:t>由亚</w:t>
      </w:r>
      <w:r w:rsidR="000C026D">
        <w:rPr>
          <w:rFonts w:hint="eastAsia"/>
          <w:color w:val="000000"/>
          <w:sz w:val="28"/>
          <w:szCs w:val="28"/>
        </w:rPr>
        <w:t>冬</w:t>
      </w:r>
      <w:r w:rsidR="00E84D81" w:rsidRPr="00F70C01">
        <w:rPr>
          <w:rFonts w:hint="eastAsia"/>
          <w:color w:val="000000"/>
          <w:sz w:val="28"/>
          <w:szCs w:val="28"/>
        </w:rPr>
        <w:t>、</w:t>
      </w:r>
      <w:r w:rsidRPr="00F70C01">
        <w:rPr>
          <w:rFonts w:hint="eastAsia"/>
          <w:color w:val="000000"/>
          <w:sz w:val="28"/>
          <w:szCs w:val="28"/>
        </w:rPr>
        <w:t>胡凤兴</w:t>
      </w:r>
      <w:r w:rsidR="00E84D81" w:rsidRPr="00F70C01">
        <w:rPr>
          <w:rFonts w:hint="eastAsia"/>
          <w:color w:val="000000"/>
          <w:sz w:val="28"/>
          <w:szCs w:val="28"/>
        </w:rPr>
        <w:t>可以随时到乙方查询、复印甲方专户的资料；乙方应当及时、准确、完整地向其提供所需的有关专户的资料。</w:t>
      </w:r>
    </w:p>
    <w:p w14:paraId="29E8AE73" w14:textId="209BD328" w:rsidR="00E84D81" w:rsidRPr="00F70C01" w:rsidRDefault="00E84D81" w:rsidP="00E84D81">
      <w:pPr>
        <w:spacing w:line="360" w:lineRule="auto"/>
        <w:ind w:firstLineChars="200" w:firstLine="560"/>
        <w:rPr>
          <w:color w:val="000000"/>
          <w:sz w:val="28"/>
          <w:szCs w:val="28"/>
        </w:rPr>
      </w:pPr>
      <w:r w:rsidRPr="00F70C01">
        <w:rPr>
          <w:rFonts w:hint="eastAsia"/>
          <w:color w:val="000000"/>
          <w:sz w:val="28"/>
          <w:szCs w:val="28"/>
        </w:rPr>
        <w:t>保荐代表人向乙方查询甲方专户有关情况时应当出具本人的合法身份证明；丙方指定的其他工作人员向乙方查询甲方专户有关情况时应当出具本人的合法身份证明和单位介绍信。</w:t>
      </w:r>
    </w:p>
    <w:p w14:paraId="6A93C964" w14:textId="21874571" w:rsidR="00E84D81" w:rsidRPr="00E84D81" w:rsidRDefault="00F70C01" w:rsidP="00E84D81">
      <w:pPr>
        <w:spacing w:line="360" w:lineRule="auto"/>
        <w:ind w:firstLineChars="200" w:firstLine="560"/>
        <w:rPr>
          <w:color w:val="000000"/>
          <w:sz w:val="28"/>
          <w:szCs w:val="28"/>
          <w:highlight w:val="yellow"/>
        </w:rPr>
      </w:pPr>
      <w:r>
        <w:rPr>
          <w:color w:val="000000"/>
          <w:sz w:val="28"/>
          <w:szCs w:val="28"/>
        </w:rPr>
        <w:t>5</w:t>
      </w:r>
      <w:r w:rsidR="00E84D81" w:rsidRPr="00F70C01">
        <w:rPr>
          <w:rFonts w:hint="eastAsia"/>
          <w:color w:val="000000"/>
          <w:sz w:val="28"/>
          <w:szCs w:val="28"/>
        </w:rPr>
        <w:t>、乙方按月（每月</w:t>
      </w:r>
      <w:r w:rsidR="00E84D81" w:rsidRPr="00F70C01">
        <w:rPr>
          <w:rFonts w:hint="eastAsia"/>
          <w:color w:val="000000"/>
          <w:sz w:val="28"/>
          <w:szCs w:val="28"/>
        </w:rPr>
        <w:t>1</w:t>
      </w:r>
      <w:r w:rsidRPr="00F70C01">
        <w:rPr>
          <w:color w:val="000000"/>
          <w:sz w:val="28"/>
          <w:szCs w:val="28"/>
        </w:rPr>
        <w:t>5</w:t>
      </w:r>
      <w:r w:rsidR="00E84D81" w:rsidRPr="00F70C01">
        <w:rPr>
          <w:rFonts w:hint="eastAsia"/>
          <w:color w:val="000000"/>
          <w:sz w:val="28"/>
          <w:szCs w:val="28"/>
        </w:rPr>
        <w:t>日前）向甲方出具</w:t>
      </w:r>
      <w:r w:rsidRPr="00F70C01">
        <w:rPr>
          <w:rFonts w:hint="eastAsia"/>
          <w:color w:val="000000"/>
          <w:sz w:val="28"/>
          <w:szCs w:val="28"/>
        </w:rPr>
        <w:t>对账单，并邮件抄送丙方。乙方应当保证对账单内容真实、准确、完整。</w:t>
      </w:r>
    </w:p>
    <w:p w14:paraId="235FC831" w14:textId="77777777" w:rsidR="00F70C01" w:rsidRPr="00F70C01" w:rsidRDefault="00F70C01" w:rsidP="00F70C01">
      <w:pPr>
        <w:spacing w:line="360" w:lineRule="auto"/>
        <w:ind w:firstLineChars="200" w:firstLine="560"/>
        <w:rPr>
          <w:color w:val="000000"/>
          <w:sz w:val="28"/>
          <w:szCs w:val="28"/>
        </w:rPr>
      </w:pPr>
      <w:r w:rsidRPr="00F70C01">
        <w:rPr>
          <w:color w:val="000000"/>
          <w:sz w:val="28"/>
          <w:szCs w:val="28"/>
        </w:rPr>
        <w:t>6</w:t>
      </w:r>
      <w:r w:rsidR="00E84D81" w:rsidRPr="00F70C01">
        <w:rPr>
          <w:rFonts w:hint="eastAsia"/>
          <w:color w:val="000000"/>
          <w:sz w:val="28"/>
          <w:szCs w:val="28"/>
        </w:rPr>
        <w:t>、</w:t>
      </w:r>
      <w:r w:rsidRPr="00F70C01">
        <w:rPr>
          <w:rFonts w:hint="eastAsia"/>
          <w:color w:val="000000"/>
          <w:sz w:val="28"/>
          <w:szCs w:val="28"/>
        </w:rPr>
        <w:t>甲方一次或者十二个月内累计从专户中支取的金额超过</w:t>
      </w:r>
      <w:r w:rsidRPr="00F70C01">
        <w:rPr>
          <w:rFonts w:hint="eastAsia"/>
          <w:color w:val="000000"/>
          <w:sz w:val="28"/>
          <w:szCs w:val="28"/>
        </w:rPr>
        <w:t>5,000</w:t>
      </w:r>
      <w:r w:rsidRPr="00F70C01">
        <w:rPr>
          <w:rFonts w:hint="eastAsia"/>
          <w:color w:val="000000"/>
          <w:sz w:val="28"/>
          <w:szCs w:val="28"/>
        </w:rPr>
        <w:t>万元且达到发行募集资金总额扣除发行费用后的净额的</w:t>
      </w:r>
      <w:r w:rsidRPr="00F70C01">
        <w:rPr>
          <w:rFonts w:hint="eastAsia"/>
          <w:color w:val="000000"/>
          <w:sz w:val="28"/>
          <w:szCs w:val="28"/>
        </w:rPr>
        <w:t>20%</w:t>
      </w:r>
      <w:r w:rsidRPr="00F70C01">
        <w:rPr>
          <w:rFonts w:hint="eastAsia"/>
          <w:color w:val="000000"/>
          <w:sz w:val="28"/>
          <w:szCs w:val="28"/>
        </w:rPr>
        <w:t>的，乙方应当及时以邮件及传真方式通知丙方，同时提供专户的支出清单。</w:t>
      </w:r>
    </w:p>
    <w:p w14:paraId="2C8FC470" w14:textId="2C6DB93E" w:rsidR="00F70C01" w:rsidRPr="00F70C01" w:rsidRDefault="00F70C01" w:rsidP="00F70C01">
      <w:pPr>
        <w:spacing w:line="360" w:lineRule="auto"/>
        <w:ind w:firstLineChars="200" w:firstLine="560"/>
        <w:rPr>
          <w:color w:val="000000"/>
          <w:sz w:val="28"/>
          <w:szCs w:val="28"/>
        </w:rPr>
      </w:pPr>
      <w:r>
        <w:rPr>
          <w:rFonts w:hint="eastAsia"/>
          <w:color w:val="000000"/>
          <w:sz w:val="28"/>
          <w:szCs w:val="28"/>
        </w:rPr>
        <w:t>7</w:t>
      </w:r>
      <w:r w:rsidRPr="00F70C01">
        <w:rPr>
          <w:rFonts w:hint="eastAsia"/>
          <w:color w:val="000000"/>
          <w:sz w:val="28"/>
          <w:szCs w:val="28"/>
        </w:rPr>
        <w:t>、丙方有权根据有关规定更换指定的保荐代表人。丙方更换保荐代表人的，应当将相关证明文件书面通知乙方，同时按本协议第十三条的要求书面通知更换后保荐代表人的联系方式。更换保荐代表人不影响本协议的效力。</w:t>
      </w:r>
    </w:p>
    <w:p w14:paraId="226FBEDA" w14:textId="25C33BC3" w:rsidR="00F70C01" w:rsidRPr="00F70C01" w:rsidRDefault="00F70C01" w:rsidP="00F70C01">
      <w:pPr>
        <w:spacing w:line="360" w:lineRule="auto"/>
        <w:ind w:firstLineChars="200" w:firstLine="560"/>
        <w:rPr>
          <w:color w:val="000000"/>
          <w:sz w:val="28"/>
          <w:szCs w:val="28"/>
        </w:rPr>
      </w:pPr>
      <w:r>
        <w:rPr>
          <w:rFonts w:hint="eastAsia"/>
          <w:color w:val="000000"/>
          <w:sz w:val="28"/>
          <w:szCs w:val="28"/>
        </w:rPr>
        <w:t>8</w:t>
      </w:r>
      <w:r w:rsidRPr="00F70C01">
        <w:rPr>
          <w:rFonts w:hint="eastAsia"/>
          <w:color w:val="000000"/>
          <w:sz w:val="28"/>
          <w:szCs w:val="28"/>
        </w:rPr>
        <w:t>、乙方连续三次未及时向丙方出具对账单或者向丙方通知专户大额支取情况，以及存在未配合丙方调查专户情形的，丙方可以要求甲方或甲方单方面可以终止本协议并注销募集资金专户。</w:t>
      </w:r>
    </w:p>
    <w:p w14:paraId="33F97395" w14:textId="0275CA1B" w:rsidR="00F70C01" w:rsidRPr="00F70C01" w:rsidRDefault="00F70C01" w:rsidP="00F70C01">
      <w:pPr>
        <w:spacing w:line="360" w:lineRule="auto"/>
        <w:ind w:firstLineChars="200" w:firstLine="560"/>
        <w:rPr>
          <w:color w:val="000000"/>
          <w:sz w:val="28"/>
          <w:szCs w:val="28"/>
        </w:rPr>
      </w:pPr>
      <w:r>
        <w:rPr>
          <w:rFonts w:hint="eastAsia"/>
          <w:color w:val="000000"/>
          <w:sz w:val="28"/>
          <w:szCs w:val="28"/>
        </w:rPr>
        <w:t>9</w:t>
      </w:r>
      <w:r w:rsidRPr="00F70C01">
        <w:rPr>
          <w:rFonts w:hint="eastAsia"/>
          <w:color w:val="000000"/>
          <w:sz w:val="28"/>
          <w:szCs w:val="28"/>
        </w:rPr>
        <w:t>、本协议自甲、乙、丙三方法定代表人或者其授权代表签字（签章）并加盖各自单位公章之日起生效，至专户资金全部支出完毕并依</w:t>
      </w:r>
      <w:r w:rsidRPr="00F70C01">
        <w:rPr>
          <w:rFonts w:hint="eastAsia"/>
          <w:color w:val="000000"/>
          <w:sz w:val="28"/>
          <w:szCs w:val="28"/>
        </w:rPr>
        <w:lastRenderedPageBreak/>
        <w:t>法销户之日起失效。</w:t>
      </w:r>
    </w:p>
    <w:p w14:paraId="03D3F26D" w14:textId="77777777" w:rsidR="00F70C01" w:rsidRPr="00F70C01" w:rsidRDefault="00F70C01" w:rsidP="00F70C01">
      <w:pPr>
        <w:spacing w:line="360" w:lineRule="auto"/>
        <w:ind w:firstLineChars="200" w:firstLine="560"/>
        <w:rPr>
          <w:color w:val="000000"/>
          <w:sz w:val="28"/>
          <w:szCs w:val="28"/>
        </w:rPr>
      </w:pPr>
      <w:r w:rsidRPr="00F70C01">
        <w:rPr>
          <w:rFonts w:hint="eastAsia"/>
          <w:color w:val="000000"/>
          <w:sz w:val="28"/>
          <w:szCs w:val="28"/>
        </w:rPr>
        <w:t>丙方义务至持续督导期结束之日。</w:t>
      </w:r>
    </w:p>
    <w:p w14:paraId="7507E429" w14:textId="199DA300" w:rsidR="00F70C01" w:rsidRPr="00F70C01" w:rsidRDefault="00F70C01" w:rsidP="00F70C01">
      <w:pPr>
        <w:spacing w:line="360" w:lineRule="auto"/>
        <w:ind w:firstLineChars="200" w:firstLine="560"/>
        <w:rPr>
          <w:color w:val="000000"/>
          <w:sz w:val="28"/>
          <w:szCs w:val="28"/>
        </w:rPr>
      </w:pPr>
      <w:r>
        <w:rPr>
          <w:rFonts w:hint="eastAsia"/>
          <w:color w:val="000000"/>
          <w:sz w:val="28"/>
          <w:szCs w:val="28"/>
        </w:rPr>
        <w:t>1</w:t>
      </w:r>
      <w:r>
        <w:rPr>
          <w:color w:val="000000"/>
          <w:sz w:val="28"/>
          <w:szCs w:val="28"/>
        </w:rPr>
        <w:t>0</w:t>
      </w:r>
      <w:r w:rsidRPr="00F70C01">
        <w:rPr>
          <w:rFonts w:hint="eastAsia"/>
          <w:color w:val="000000"/>
          <w:sz w:val="28"/>
          <w:szCs w:val="28"/>
        </w:rPr>
        <w:t>、如果本协议任何一方违反相关法律法规或本协议项下的任何规定而给其他方造成损失，违约方应承担由此产生的一切责任，并赔偿守约方因此而遭受的所有损失和费用。</w:t>
      </w:r>
    </w:p>
    <w:p w14:paraId="3E4AEEB1" w14:textId="65DF415F" w:rsidR="00E84D81" w:rsidRPr="00F70C01" w:rsidRDefault="00F70C01" w:rsidP="00F70C01">
      <w:pPr>
        <w:spacing w:line="360" w:lineRule="auto"/>
        <w:ind w:firstLineChars="200" w:firstLine="560"/>
        <w:rPr>
          <w:color w:val="000000"/>
          <w:sz w:val="28"/>
          <w:szCs w:val="28"/>
        </w:rPr>
      </w:pPr>
      <w:r>
        <w:rPr>
          <w:rFonts w:hint="eastAsia"/>
          <w:color w:val="000000"/>
          <w:sz w:val="28"/>
          <w:szCs w:val="28"/>
        </w:rPr>
        <w:t>1</w:t>
      </w:r>
      <w:r>
        <w:rPr>
          <w:color w:val="000000"/>
          <w:sz w:val="28"/>
          <w:szCs w:val="28"/>
        </w:rPr>
        <w:t>1</w:t>
      </w:r>
      <w:r w:rsidRPr="00F70C01">
        <w:rPr>
          <w:rFonts w:hint="eastAsia"/>
          <w:color w:val="000000"/>
          <w:sz w:val="28"/>
          <w:szCs w:val="28"/>
        </w:rPr>
        <w:t>、本协议项下所产生的或与本协议有关的任何争议，首先应在争议各方之间协商解决。如果协商解决不成，各方均有权向甲方所在地仲裁委员会</w:t>
      </w:r>
      <w:r w:rsidR="0054517B" w:rsidRPr="0054517B">
        <w:rPr>
          <w:rFonts w:hint="eastAsia"/>
          <w:color w:val="000000"/>
          <w:sz w:val="28"/>
          <w:szCs w:val="28"/>
        </w:rPr>
        <w:t>（深圳市）</w:t>
      </w:r>
      <w:r w:rsidRPr="00F70C01">
        <w:rPr>
          <w:rFonts w:hint="eastAsia"/>
          <w:color w:val="000000"/>
          <w:sz w:val="28"/>
          <w:szCs w:val="28"/>
        </w:rPr>
        <w:t>提请仲裁，适用该委员会当时有效的仲裁规则，仲裁裁决是终局的，对本协议各方均具有法律约束力。</w:t>
      </w:r>
    </w:p>
    <w:p w14:paraId="0BC8DC95" w14:textId="50C760C2" w:rsidR="003D6162" w:rsidRPr="00B15881" w:rsidRDefault="00F70C01" w:rsidP="003D6162">
      <w:pPr>
        <w:spacing w:line="360" w:lineRule="auto"/>
        <w:ind w:firstLineChars="200" w:firstLine="560"/>
        <w:rPr>
          <w:color w:val="000000"/>
          <w:sz w:val="28"/>
          <w:szCs w:val="28"/>
        </w:rPr>
      </w:pPr>
      <w:r w:rsidRPr="00F70C01">
        <w:rPr>
          <w:rFonts w:hint="eastAsia"/>
          <w:color w:val="000000"/>
          <w:sz w:val="28"/>
          <w:szCs w:val="28"/>
        </w:rPr>
        <w:t>在争议解决期间，若该争议不影响本协议其他条款的履行，则该其他条款应继续履行。</w:t>
      </w:r>
    </w:p>
    <w:p w14:paraId="18FF4DB8" w14:textId="1A8DD2BE" w:rsidR="007432D1" w:rsidRPr="00B15881" w:rsidRDefault="007432D1" w:rsidP="00E84D81">
      <w:pPr>
        <w:spacing w:line="360" w:lineRule="auto"/>
        <w:ind w:firstLineChars="200" w:firstLine="560"/>
        <w:rPr>
          <w:color w:val="000000"/>
          <w:sz w:val="28"/>
          <w:szCs w:val="28"/>
        </w:rPr>
      </w:pPr>
    </w:p>
    <w:p w14:paraId="006E7844" w14:textId="3D833082" w:rsidR="000B72BB" w:rsidRDefault="009C2C49" w:rsidP="000B72BB">
      <w:pPr>
        <w:spacing w:line="360" w:lineRule="auto"/>
        <w:ind w:firstLineChars="200" w:firstLine="560"/>
        <w:rPr>
          <w:color w:val="000000"/>
          <w:sz w:val="28"/>
          <w:szCs w:val="28"/>
        </w:rPr>
      </w:pPr>
      <w:r w:rsidRPr="00B15881">
        <w:rPr>
          <w:rFonts w:hint="eastAsia"/>
          <w:color w:val="000000"/>
          <w:sz w:val="28"/>
          <w:szCs w:val="28"/>
        </w:rPr>
        <w:t>特此公告。</w:t>
      </w:r>
    </w:p>
    <w:p w14:paraId="6CE8C42A" w14:textId="77777777" w:rsidR="00B15881" w:rsidRPr="00B15881" w:rsidRDefault="00B15881" w:rsidP="000B72BB">
      <w:pPr>
        <w:spacing w:line="360" w:lineRule="auto"/>
        <w:ind w:firstLineChars="200" w:firstLine="560"/>
        <w:rPr>
          <w:rFonts w:ascii="宋体" w:hAnsi="宋体"/>
          <w:sz w:val="28"/>
          <w:szCs w:val="28"/>
        </w:rPr>
      </w:pPr>
    </w:p>
    <w:p w14:paraId="09A4E1EE" w14:textId="77777777" w:rsidR="009C2C49" w:rsidRPr="006A4670" w:rsidRDefault="009C2C49" w:rsidP="009C2C49">
      <w:pPr>
        <w:widowControl/>
        <w:adjustRightInd w:val="0"/>
        <w:snapToGrid w:val="0"/>
        <w:spacing w:line="360" w:lineRule="auto"/>
        <w:ind w:firstLine="600"/>
        <w:jc w:val="right"/>
        <w:rPr>
          <w:rFonts w:asciiTheme="minorEastAsia" w:eastAsiaTheme="minorEastAsia" w:hAnsiTheme="minorEastAsia"/>
          <w:sz w:val="28"/>
          <w:szCs w:val="28"/>
        </w:rPr>
      </w:pPr>
      <w:r w:rsidRPr="00B15881">
        <w:rPr>
          <w:rFonts w:asciiTheme="minorEastAsia" w:eastAsiaTheme="minorEastAsia" w:hAnsiTheme="minorEastAsia" w:hint="eastAsia"/>
          <w:sz w:val="28"/>
          <w:szCs w:val="28"/>
        </w:rPr>
        <w:t>深圳市有方科技</w:t>
      </w:r>
      <w:r w:rsidRPr="006A4670">
        <w:rPr>
          <w:rFonts w:asciiTheme="minorEastAsia" w:eastAsiaTheme="minorEastAsia" w:hAnsiTheme="minorEastAsia" w:hint="eastAsia"/>
          <w:sz w:val="28"/>
          <w:szCs w:val="28"/>
        </w:rPr>
        <w:t>股份有限公司董事会</w:t>
      </w:r>
    </w:p>
    <w:p w14:paraId="2E5418A3" w14:textId="7BFFECD1" w:rsidR="00004DD7" w:rsidRPr="00B15881" w:rsidRDefault="009C2C49" w:rsidP="000B72BB">
      <w:pPr>
        <w:adjustRightInd w:val="0"/>
        <w:snapToGrid w:val="0"/>
        <w:spacing w:line="360" w:lineRule="auto"/>
        <w:ind w:firstLineChars="200" w:firstLine="560"/>
        <w:jc w:val="right"/>
        <w:rPr>
          <w:sz w:val="28"/>
          <w:szCs w:val="28"/>
        </w:rPr>
      </w:pPr>
      <w:r w:rsidRPr="006A4670">
        <w:rPr>
          <w:rFonts w:asciiTheme="minorEastAsia" w:eastAsiaTheme="minorEastAsia" w:hAnsiTheme="minorEastAsia" w:hint="eastAsia"/>
          <w:sz w:val="28"/>
          <w:szCs w:val="28"/>
        </w:rPr>
        <w:t xml:space="preserve">  </w:t>
      </w:r>
      <w:r w:rsidRPr="003809EC">
        <w:rPr>
          <w:rFonts w:asciiTheme="minorEastAsia" w:eastAsiaTheme="minorEastAsia" w:hAnsiTheme="minorEastAsia" w:hint="eastAsia"/>
          <w:sz w:val="28"/>
          <w:szCs w:val="28"/>
        </w:rPr>
        <w:t>202</w:t>
      </w:r>
      <w:r w:rsidR="00C65AF1" w:rsidRPr="003809EC">
        <w:rPr>
          <w:rFonts w:asciiTheme="minorEastAsia" w:eastAsiaTheme="minorEastAsia" w:hAnsiTheme="minorEastAsia"/>
          <w:sz w:val="28"/>
          <w:szCs w:val="28"/>
        </w:rPr>
        <w:t>5</w:t>
      </w:r>
      <w:r w:rsidRPr="003809EC">
        <w:rPr>
          <w:rFonts w:asciiTheme="minorEastAsia" w:eastAsiaTheme="minorEastAsia" w:hAnsiTheme="minorEastAsia" w:hint="eastAsia"/>
          <w:sz w:val="28"/>
          <w:szCs w:val="28"/>
        </w:rPr>
        <w:t>年</w:t>
      </w:r>
      <w:r w:rsidR="00C65AF1" w:rsidRPr="003809EC">
        <w:rPr>
          <w:rFonts w:asciiTheme="minorEastAsia" w:eastAsiaTheme="minorEastAsia" w:hAnsiTheme="minorEastAsia"/>
          <w:sz w:val="28"/>
          <w:szCs w:val="28"/>
        </w:rPr>
        <w:t>2</w:t>
      </w:r>
      <w:r w:rsidRPr="003809EC">
        <w:rPr>
          <w:rFonts w:asciiTheme="minorEastAsia" w:eastAsiaTheme="minorEastAsia" w:hAnsiTheme="minorEastAsia" w:hint="eastAsia"/>
          <w:sz w:val="28"/>
          <w:szCs w:val="28"/>
        </w:rPr>
        <w:t>月</w:t>
      </w:r>
      <w:r w:rsidR="00AD7593" w:rsidRPr="003809EC">
        <w:rPr>
          <w:rFonts w:asciiTheme="minorEastAsia" w:eastAsiaTheme="minorEastAsia" w:hAnsiTheme="minorEastAsia"/>
          <w:sz w:val="28"/>
          <w:szCs w:val="28"/>
        </w:rPr>
        <w:t>2</w:t>
      </w:r>
      <w:r w:rsidR="003809EC" w:rsidRPr="003809EC">
        <w:rPr>
          <w:rFonts w:asciiTheme="minorEastAsia" w:eastAsiaTheme="minorEastAsia" w:hAnsiTheme="minorEastAsia"/>
          <w:sz w:val="28"/>
          <w:szCs w:val="28"/>
        </w:rPr>
        <w:t>2</w:t>
      </w:r>
      <w:r w:rsidRPr="003809EC">
        <w:rPr>
          <w:rFonts w:asciiTheme="minorEastAsia" w:eastAsiaTheme="minorEastAsia" w:hAnsiTheme="minorEastAsia" w:hint="eastAsia"/>
          <w:sz w:val="28"/>
          <w:szCs w:val="28"/>
        </w:rPr>
        <w:t>日</w:t>
      </w:r>
    </w:p>
    <w:sectPr w:rsidR="00004DD7" w:rsidRPr="00B15881" w:rsidSect="00004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DC10D" w14:textId="77777777" w:rsidR="002526CD" w:rsidRDefault="002526CD" w:rsidP="00C87412">
      <w:r>
        <w:separator/>
      </w:r>
    </w:p>
  </w:endnote>
  <w:endnote w:type="continuationSeparator" w:id="0">
    <w:p w14:paraId="792FF20A" w14:textId="77777777" w:rsidR="002526CD" w:rsidRDefault="002526CD" w:rsidP="00C8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1B2C" w14:textId="77777777" w:rsidR="002526CD" w:rsidRDefault="002526CD" w:rsidP="00C87412">
      <w:r>
        <w:separator/>
      </w:r>
    </w:p>
  </w:footnote>
  <w:footnote w:type="continuationSeparator" w:id="0">
    <w:p w14:paraId="690AEA5F" w14:textId="77777777" w:rsidR="002526CD" w:rsidRDefault="002526CD" w:rsidP="00C87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D0E02"/>
    <w:multiLevelType w:val="hybridMultilevel"/>
    <w:tmpl w:val="41002BC8"/>
    <w:lvl w:ilvl="0" w:tplc="04090001">
      <w:start w:val="1"/>
      <w:numFmt w:val="bullet"/>
      <w:lvlText w:val=""/>
      <w:lvlJc w:val="left"/>
      <w:pPr>
        <w:tabs>
          <w:tab w:val="num" w:pos="902"/>
        </w:tabs>
        <w:ind w:left="902" w:hanging="420"/>
      </w:pPr>
      <w:rPr>
        <w:rFonts w:ascii="Wingdings" w:hAnsi="Wingdings" w:hint="default"/>
      </w:rPr>
    </w:lvl>
    <w:lvl w:ilvl="1" w:tplc="04090003" w:tentative="1">
      <w:start w:val="1"/>
      <w:numFmt w:val="bullet"/>
      <w:lvlText w:val=""/>
      <w:lvlJc w:val="left"/>
      <w:pPr>
        <w:tabs>
          <w:tab w:val="num" w:pos="1322"/>
        </w:tabs>
        <w:ind w:left="1322" w:hanging="420"/>
      </w:pPr>
      <w:rPr>
        <w:rFonts w:ascii="Wingdings" w:hAnsi="Wingdings" w:hint="default"/>
      </w:rPr>
    </w:lvl>
    <w:lvl w:ilvl="2" w:tplc="04090005"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3" w:tentative="1">
      <w:start w:val="1"/>
      <w:numFmt w:val="bullet"/>
      <w:lvlText w:val=""/>
      <w:lvlJc w:val="left"/>
      <w:pPr>
        <w:tabs>
          <w:tab w:val="num" w:pos="2582"/>
        </w:tabs>
        <w:ind w:left="2582" w:hanging="420"/>
      </w:pPr>
      <w:rPr>
        <w:rFonts w:ascii="Wingdings" w:hAnsi="Wingdings" w:hint="default"/>
      </w:rPr>
    </w:lvl>
    <w:lvl w:ilvl="5" w:tplc="04090005"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3" w:tentative="1">
      <w:start w:val="1"/>
      <w:numFmt w:val="bullet"/>
      <w:lvlText w:val=""/>
      <w:lvlJc w:val="left"/>
      <w:pPr>
        <w:tabs>
          <w:tab w:val="num" w:pos="3842"/>
        </w:tabs>
        <w:ind w:left="3842" w:hanging="420"/>
      </w:pPr>
      <w:rPr>
        <w:rFonts w:ascii="Wingdings" w:hAnsi="Wingdings" w:hint="default"/>
      </w:rPr>
    </w:lvl>
    <w:lvl w:ilvl="8" w:tplc="04090005" w:tentative="1">
      <w:start w:val="1"/>
      <w:numFmt w:val="bullet"/>
      <w:lvlText w:val=""/>
      <w:lvlJc w:val="left"/>
      <w:pPr>
        <w:tabs>
          <w:tab w:val="num" w:pos="4262"/>
        </w:tabs>
        <w:ind w:left="42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5E"/>
    <w:rsid w:val="00004DD7"/>
    <w:rsid w:val="000117BB"/>
    <w:rsid w:val="00013723"/>
    <w:rsid w:val="00031AEE"/>
    <w:rsid w:val="00035A60"/>
    <w:rsid w:val="000442C0"/>
    <w:rsid w:val="00046AA5"/>
    <w:rsid w:val="0005132A"/>
    <w:rsid w:val="0005270E"/>
    <w:rsid w:val="00067C9C"/>
    <w:rsid w:val="0008244B"/>
    <w:rsid w:val="00085AC3"/>
    <w:rsid w:val="00087C4B"/>
    <w:rsid w:val="000B72BB"/>
    <w:rsid w:val="000C01A3"/>
    <w:rsid w:val="000C026D"/>
    <w:rsid w:val="000E2112"/>
    <w:rsid w:val="000E34FA"/>
    <w:rsid w:val="000F66C9"/>
    <w:rsid w:val="00145910"/>
    <w:rsid w:val="00146401"/>
    <w:rsid w:val="00153DD0"/>
    <w:rsid w:val="00154696"/>
    <w:rsid w:val="00162534"/>
    <w:rsid w:val="00167EA7"/>
    <w:rsid w:val="0019573A"/>
    <w:rsid w:val="00196B5B"/>
    <w:rsid w:val="001A45BB"/>
    <w:rsid w:val="001B0594"/>
    <w:rsid w:val="001B1F9B"/>
    <w:rsid w:val="001B325A"/>
    <w:rsid w:val="001B5721"/>
    <w:rsid w:val="001D0688"/>
    <w:rsid w:val="001D494D"/>
    <w:rsid w:val="001D61CD"/>
    <w:rsid w:val="001E58B1"/>
    <w:rsid w:val="00220849"/>
    <w:rsid w:val="00226B38"/>
    <w:rsid w:val="00232416"/>
    <w:rsid w:val="00234C2D"/>
    <w:rsid w:val="0025135E"/>
    <w:rsid w:val="002526CD"/>
    <w:rsid w:val="00266D13"/>
    <w:rsid w:val="00285765"/>
    <w:rsid w:val="00295C19"/>
    <w:rsid w:val="002B732E"/>
    <w:rsid w:val="002C4401"/>
    <w:rsid w:val="002C6111"/>
    <w:rsid w:val="002D1F93"/>
    <w:rsid w:val="002D4719"/>
    <w:rsid w:val="002E6FF3"/>
    <w:rsid w:val="003075A0"/>
    <w:rsid w:val="00307807"/>
    <w:rsid w:val="00312AF6"/>
    <w:rsid w:val="00326DA0"/>
    <w:rsid w:val="00332CA7"/>
    <w:rsid w:val="00341821"/>
    <w:rsid w:val="0034354D"/>
    <w:rsid w:val="00343572"/>
    <w:rsid w:val="00353223"/>
    <w:rsid w:val="00372513"/>
    <w:rsid w:val="003809EC"/>
    <w:rsid w:val="003B2A0E"/>
    <w:rsid w:val="003B3C38"/>
    <w:rsid w:val="003D6162"/>
    <w:rsid w:val="003E1621"/>
    <w:rsid w:val="003F2F5A"/>
    <w:rsid w:val="003F5AFF"/>
    <w:rsid w:val="003F6B64"/>
    <w:rsid w:val="00404247"/>
    <w:rsid w:val="00426709"/>
    <w:rsid w:val="00431F1E"/>
    <w:rsid w:val="0043500A"/>
    <w:rsid w:val="00436015"/>
    <w:rsid w:val="004362DB"/>
    <w:rsid w:val="00441AFF"/>
    <w:rsid w:val="0044331A"/>
    <w:rsid w:val="00444F36"/>
    <w:rsid w:val="0044575E"/>
    <w:rsid w:val="00462917"/>
    <w:rsid w:val="00477618"/>
    <w:rsid w:val="004842D3"/>
    <w:rsid w:val="0048709C"/>
    <w:rsid w:val="00497A33"/>
    <w:rsid w:val="004A3A6B"/>
    <w:rsid w:val="004A665B"/>
    <w:rsid w:val="004B1205"/>
    <w:rsid w:val="004B5FC1"/>
    <w:rsid w:val="004D2352"/>
    <w:rsid w:val="004E21B8"/>
    <w:rsid w:val="004E51BB"/>
    <w:rsid w:val="004E6C34"/>
    <w:rsid w:val="004F42FD"/>
    <w:rsid w:val="005112D0"/>
    <w:rsid w:val="00523D89"/>
    <w:rsid w:val="00537F9C"/>
    <w:rsid w:val="00540129"/>
    <w:rsid w:val="0054254A"/>
    <w:rsid w:val="0054481F"/>
    <w:rsid w:val="0054517B"/>
    <w:rsid w:val="00576EA9"/>
    <w:rsid w:val="00582B00"/>
    <w:rsid w:val="005A0B80"/>
    <w:rsid w:val="005B2C46"/>
    <w:rsid w:val="005E01FC"/>
    <w:rsid w:val="005E4FD8"/>
    <w:rsid w:val="005F7249"/>
    <w:rsid w:val="006022F4"/>
    <w:rsid w:val="00615BF3"/>
    <w:rsid w:val="00622406"/>
    <w:rsid w:val="0062277C"/>
    <w:rsid w:val="00626AA2"/>
    <w:rsid w:val="0064302F"/>
    <w:rsid w:val="00650A82"/>
    <w:rsid w:val="00664239"/>
    <w:rsid w:val="0068064D"/>
    <w:rsid w:val="0069622D"/>
    <w:rsid w:val="006A000E"/>
    <w:rsid w:val="006A2069"/>
    <w:rsid w:val="006A4670"/>
    <w:rsid w:val="006A7E2A"/>
    <w:rsid w:val="006B3321"/>
    <w:rsid w:val="006B50E6"/>
    <w:rsid w:val="006C1E88"/>
    <w:rsid w:val="006C5AB3"/>
    <w:rsid w:val="006D5FDF"/>
    <w:rsid w:val="006E3976"/>
    <w:rsid w:val="006F684B"/>
    <w:rsid w:val="006F7C85"/>
    <w:rsid w:val="007057E7"/>
    <w:rsid w:val="0071652B"/>
    <w:rsid w:val="00716FB3"/>
    <w:rsid w:val="007364C4"/>
    <w:rsid w:val="007432D1"/>
    <w:rsid w:val="00771F85"/>
    <w:rsid w:val="00793DCF"/>
    <w:rsid w:val="007C28B1"/>
    <w:rsid w:val="007C4132"/>
    <w:rsid w:val="007E271F"/>
    <w:rsid w:val="007E4550"/>
    <w:rsid w:val="007F33E1"/>
    <w:rsid w:val="0080734A"/>
    <w:rsid w:val="008175BC"/>
    <w:rsid w:val="00822609"/>
    <w:rsid w:val="008253CF"/>
    <w:rsid w:val="00881660"/>
    <w:rsid w:val="00897F71"/>
    <w:rsid w:val="008A1A33"/>
    <w:rsid w:val="008E1CC0"/>
    <w:rsid w:val="008E37F2"/>
    <w:rsid w:val="008E742D"/>
    <w:rsid w:val="00904E92"/>
    <w:rsid w:val="0094090D"/>
    <w:rsid w:val="009501F7"/>
    <w:rsid w:val="009564AF"/>
    <w:rsid w:val="00957879"/>
    <w:rsid w:val="0097634D"/>
    <w:rsid w:val="00984F5C"/>
    <w:rsid w:val="00992789"/>
    <w:rsid w:val="00994465"/>
    <w:rsid w:val="009A6513"/>
    <w:rsid w:val="009A6CF9"/>
    <w:rsid w:val="009C2C49"/>
    <w:rsid w:val="009D1954"/>
    <w:rsid w:val="009F398E"/>
    <w:rsid w:val="00A14455"/>
    <w:rsid w:val="00A504A6"/>
    <w:rsid w:val="00A52189"/>
    <w:rsid w:val="00A64462"/>
    <w:rsid w:val="00A6696C"/>
    <w:rsid w:val="00A71C5B"/>
    <w:rsid w:val="00A8026C"/>
    <w:rsid w:val="00A82316"/>
    <w:rsid w:val="00A82CB9"/>
    <w:rsid w:val="00A84F29"/>
    <w:rsid w:val="00A864AC"/>
    <w:rsid w:val="00A86F07"/>
    <w:rsid w:val="00A92B41"/>
    <w:rsid w:val="00A949C5"/>
    <w:rsid w:val="00AB374C"/>
    <w:rsid w:val="00AC178B"/>
    <w:rsid w:val="00AD7593"/>
    <w:rsid w:val="00AE08F5"/>
    <w:rsid w:val="00AE4B98"/>
    <w:rsid w:val="00AE5D27"/>
    <w:rsid w:val="00AF15E3"/>
    <w:rsid w:val="00AF26A5"/>
    <w:rsid w:val="00AF4921"/>
    <w:rsid w:val="00B0521B"/>
    <w:rsid w:val="00B1115B"/>
    <w:rsid w:val="00B15881"/>
    <w:rsid w:val="00B2166A"/>
    <w:rsid w:val="00B2227E"/>
    <w:rsid w:val="00B23587"/>
    <w:rsid w:val="00B5224E"/>
    <w:rsid w:val="00B70A6D"/>
    <w:rsid w:val="00BC0E9E"/>
    <w:rsid w:val="00BC192F"/>
    <w:rsid w:val="00BC57B3"/>
    <w:rsid w:val="00BC660D"/>
    <w:rsid w:val="00BD3EDD"/>
    <w:rsid w:val="00BE6859"/>
    <w:rsid w:val="00BF74A0"/>
    <w:rsid w:val="00C00712"/>
    <w:rsid w:val="00C03AC1"/>
    <w:rsid w:val="00C04025"/>
    <w:rsid w:val="00C146F2"/>
    <w:rsid w:val="00C30A02"/>
    <w:rsid w:val="00C517A5"/>
    <w:rsid w:val="00C63556"/>
    <w:rsid w:val="00C63AA2"/>
    <w:rsid w:val="00C64DBC"/>
    <w:rsid w:val="00C65AF1"/>
    <w:rsid w:val="00C830AF"/>
    <w:rsid w:val="00C87412"/>
    <w:rsid w:val="00C92855"/>
    <w:rsid w:val="00C9291D"/>
    <w:rsid w:val="00CC0BE2"/>
    <w:rsid w:val="00CE1ED6"/>
    <w:rsid w:val="00CE739A"/>
    <w:rsid w:val="00CF7A6E"/>
    <w:rsid w:val="00D109C0"/>
    <w:rsid w:val="00D317A8"/>
    <w:rsid w:val="00D4261A"/>
    <w:rsid w:val="00D55232"/>
    <w:rsid w:val="00D57AAD"/>
    <w:rsid w:val="00D61C0E"/>
    <w:rsid w:val="00D80E09"/>
    <w:rsid w:val="00D8100B"/>
    <w:rsid w:val="00D81A88"/>
    <w:rsid w:val="00D8630E"/>
    <w:rsid w:val="00D86A42"/>
    <w:rsid w:val="00D924F8"/>
    <w:rsid w:val="00DA1358"/>
    <w:rsid w:val="00DB5484"/>
    <w:rsid w:val="00DB5967"/>
    <w:rsid w:val="00DC12D8"/>
    <w:rsid w:val="00DC582F"/>
    <w:rsid w:val="00DD113F"/>
    <w:rsid w:val="00DD49CD"/>
    <w:rsid w:val="00DF0616"/>
    <w:rsid w:val="00E02A06"/>
    <w:rsid w:val="00E14509"/>
    <w:rsid w:val="00E14F62"/>
    <w:rsid w:val="00E40651"/>
    <w:rsid w:val="00E41093"/>
    <w:rsid w:val="00E5034D"/>
    <w:rsid w:val="00E67349"/>
    <w:rsid w:val="00E74E30"/>
    <w:rsid w:val="00E76A4F"/>
    <w:rsid w:val="00E84D81"/>
    <w:rsid w:val="00E95373"/>
    <w:rsid w:val="00EB53D5"/>
    <w:rsid w:val="00ED72C7"/>
    <w:rsid w:val="00EE2A5A"/>
    <w:rsid w:val="00EF4867"/>
    <w:rsid w:val="00F0227A"/>
    <w:rsid w:val="00F16D5F"/>
    <w:rsid w:val="00F20720"/>
    <w:rsid w:val="00F313AD"/>
    <w:rsid w:val="00F404B0"/>
    <w:rsid w:val="00F55446"/>
    <w:rsid w:val="00F70C01"/>
    <w:rsid w:val="00F813AA"/>
    <w:rsid w:val="00F86C32"/>
    <w:rsid w:val="00F86C77"/>
    <w:rsid w:val="00F87E92"/>
    <w:rsid w:val="00F97C3B"/>
    <w:rsid w:val="00FB031E"/>
    <w:rsid w:val="00FB207E"/>
    <w:rsid w:val="00FC19D8"/>
    <w:rsid w:val="00FC6207"/>
    <w:rsid w:val="00FC6FC7"/>
    <w:rsid w:val="00FD1C55"/>
    <w:rsid w:val="00FE21FE"/>
    <w:rsid w:val="00FE54B6"/>
    <w:rsid w:val="00FF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4BB56"/>
  <w15:docId w15:val="{C10C006A-ACDB-4332-8C3A-5C367393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7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4575E"/>
    <w:pPr>
      <w:spacing w:before="240" w:after="60"/>
      <w:jc w:val="center"/>
      <w:outlineLvl w:val="0"/>
    </w:pPr>
    <w:rPr>
      <w:rFonts w:ascii="Cambria" w:hAnsi="Cambria"/>
      <w:b/>
      <w:bCs/>
      <w:sz w:val="32"/>
      <w:szCs w:val="32"/>
    </w:rPr>
  </w:style>
  <w:style w:type="character" w:customStyle="1" w:styleId="Char">
    <w:name w:val="标题 Char"/>
    <w:basedOn w:val="a0"/>
    <w:link w:val="a3"/>
    <w:rsid w:val="0044575E"/>
    <w:rPr>
      <w:rFonts w:ascii="Cambria" w:eastAsia="宋体" w:hAnsi="Cambria" w:cs="Times New Roman"/>
      <w:b/>
      <w:bCs/>
      <w:sz w:val="32"/>
      <w:szCs w:val="32"/>
    </w:rPr>
  </w:style>
  <w:style w:type="paragraph" w:styleId="a4">
    <w:name w:val="header"/>
    <w:basedOn w:val="a"/>
    <w:link w:val="Char0"/>
    <w:uiPriority w:val="99"/>
    <w:unhideWhenUsed/>
    <w:rsid w:val="00C874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7412"/>
    <w:rPr>
      <w:rFonts w:ascii="Times New Roman" w:eastAsia="宋体" w:hAnsi="Times New Roman" w:cs="Times New Roman"/>
      <w:sz w:val="18"/>
      <w:szCs w:val="18"/>
    </w:rPr>
  </w:style>
  <w:style w:type="paragraph" w:styleId="a5">
    <w:name w:val="footer"/>
    <w:basedOn w:val="a"/>
    <w:link w:val="Char1"/>
    <w:uiPriority w:val="99"/>
    <w:unhideWhenUsed/>
    <w:rsid w:val="00C87412"/>
    <w:pPr>
      <w:tabs>
        <w:tab w:val="center" w:pos="4153"/>
        <w:tab w:val="right" w:pos="8306"/>
      </w:tabs>
      <w:snapToGrid w:val="0"/>
      <w:jc w:val="left"/>
    </w:pPr>
    <w:rPr>
      <w:sz w:val="18"/>
      <w:szCs w:val="18"/>
    </w:rPr>
  </w:style>
  <w:style w:type="character" w:customStyle="1" w:styleId="Char1">
    <w:name w:val="页脚 Char"/>
    <w:basedOn w:val="a0"/>
    <w:link w:val="a5"/>
    <w:uiPriority w:val="99"/>
    <w:rsid w:val="00C87412"/>
    <w:rPr>
      <w:rFonts w:ascii="Times New Roman" w:eastAsia="宋体" w:hAnsi="Times New Roman" w:cs="Times New Roman"/>
      <w:sz w:val="18"/>
      <w:szCs w:val="18"/>
    </w:rPr>
  </w:style>
  <w:style w:type="paragraph" w:styleId="a6">
    <w:name w:val="Normal (Web)"/>
    <w:basedOn w:val="a"/>
    <w:uiPriority w:val="99"/>
    <w:unhideWhenUsed/>
    <w:rsid w:val="004362DB"/>
    <w:pPr>
      <w:widowControl/>
      <w:spacing w:before="100" w:beforeAutospacing="1" w:after="100" w:afterAutospacing="1"/>
      <w:jc w:val="left"/>
    </w:pPr>
    <w:rPr>
      <w:rFonts w:ascii="宋体" w:hAnsi="宋体" w:cs="宋体"/>
      <w:kern w:val="0"/>
      <w:sz w:val="24"/>
    </w:rPr>
  </w:style>
  <w:style w:type="character" w:styleId="a7">
    <w:name w:val="Emphasis"/>
    <w:basedOn w:val="a0"/>
    <w:uiPriority w:val="20"/>
    <w:qFormat/>
    <w:rsid w:val="004362DB"/>
    <w:rPr>
      <w:i/>
      <w:iCs/>
    </w:rPr>
  </w:style>
  <w:style w:type="paragraph" w:styleId="a8">
    <w:name w:val="Balloon Text"/>
    <w:basedOn w:val="a"/>
    <w:link w:val="Char2"/>
    <w:uiPriority w:val="99"/>
    <w:semiHidden/>
    <w:unhideWhenUsed/>
    <w:rsid w:val="007364C4"/>
    <w:rPr>
      <w:sz w:val="18"/>
      <w:szCs w:val="18"/>
    </w:rPr>
  </w:style>
  <w:style w:type="character" w:customStyle="1" w:styleId="Char2">
    <w:name w:val="批注框文本 Char"/>
    <w:basedOn w:val="a0"/>
    <w:link w:val="a8"/>
    <w:uiPriority w:val="99"/>
    <w:semiHidden/>
    <w:rsid w:val="007364C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7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6</Pages>
  <Words>473</Words>
  <Characters>2699</Characters>
  <Application>Microsoft Office Word</Application>
  <DocSecurity>0</DocSecurity>
  <Lines>22</Lines>
  <Paragraphs>6</Paragraphs>
  <ScaleCrop>false</ScaleCrop>
  <Company>sse</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雷叔</dc:creator>
  <cp:keywords/>
  <dc:description/>
  <cp:lastModifiedBy>郑妍</cp:lastModifiedBy>
  <cp:revision>58</cp:revision>
  <dcterms:created xsi:type="dcterms:W3CDTF">2023-07-13T08:29:00Z</dcterms:created>
  <dcterms:modified xsi:type="dcterms:W3CDTF">2025-02-21T09:15:00Z</dcterms:modified>
</cp:coreProperties>
</file>