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9479B" w14:textId="315089FC" w:rsidR="00DE19D2" w:rsidRPr="00EC23ED" w:rsidRDefault="00DE19D2" w:rsidP="00A51B23">
      <w:pPr>
        <w:adjustRightInd w:val="0"/>
        <w:snapToGrid w:val="0"/>
        <w:spacing w:line="360" w:lineRule="auto"/>
        <w:rPr>
          <w:rFonts w:ascii="黑体" w:eastAsia="黑体" w:hAnsi="黑体"/>
          <w:b/>
          <w:bCs/>
          <w:sz w:val="28"/>
          <w:szCs w:val="28"/>
        </w:rPr>
      </w:pPr>
      <w:r w:rsidRPr="00EC23ED">
        <w:rPr>
          <w:rFonts w:ascii="黑体" w:eastAsia="黑体" w:hAnsi="黑体" w:hint="eastAsia"/>
          <w:b/>
          <w:bCs/>
          <w:sz w:val="28"/>
          <w:szCs w:val="28"/>
        </w:rPr>
        <w:t>证券代码：688159</w:t>
      </w:r>
      <w:r w:rsidR="00EC23ED">
        <w:rPr>
          <w:rFonts w:ascii="黑体" w:eastAsia="黑体" w:hAnsi="黑体"/>
          <w:b/>
          <w:bCs/>
          <w:sz w:val="28"/>
          <w:szCs w:val="28"/>
        </w:rPr>
        <w:t xml:space="preserve">     </w:t>
      </w:r>
      <w:r w:rsidRPr="00EC23ED">
        <w:rPr>
          <w:rFonts w:ascii="黑体" w:eastAsia="黑体" w:hAnsi="黑体" w:hint="eastAsia"/>
          <w:b/>
          <w:bCs/>
          <w:sz w:val="28"/>
          <w:szCs w:val="28"/>
        </w:rPr>
        <w:t>证券简称：有方科技</w:t>
      </w:r>
      <w:r w:rsidR="00EC23ED">
        <w:rPr>
          <w:rFonts w:ascii="黑体" w:eastAsia="黑体" w:hAnsi="黑体"/>
          <w:b/>
          <w:bCs/>
          <w:sz w:val="28"/>
          <w:szCs w:val="28"/>
        </w:rPr>
        <w:t xml:space="preserve">     </w:t>
      </w:r>
      <w:r w:rsidRPr="00EC23ED">
        <w:rPr>
          <w:rFonts w:ascii="黑体" w:eastAsia="黑体" w:hAnsi="黑体" w:hint="eastAsia"/>
          <w:b/>
          <w:bCs/>
          <w:sz w:val="28"/>
          <w:szCs w:val="28"/>
        </w:rPr>
        <w:t>公告编号：202</w:t>
      </w:r>
      <w:r w:rsidR="00410056">
        <w:rPr>
          <w:rFonts w:ascii="黑体" w:eastAsia="黑体" w:hAnsi="黑体"/>
          <w:b/>
          <w:bCs/>
          <w:sz w:val="28"/>
          <w:szCs w:val="28"/>
        </w:rPr>
        <w:t>5</w:t>
      </w:r>
      <w:r w:rsidRPr="00EC23ED">
        <w:rPr>
          <w:rFonts w:ascii="黑体" w:eastAsia="黑体" w:hAnsi="黑体" w:hint="eastAsia"/>
          <w:b/>
          <w:bCs/>
          <w:sz w:val="28"/>
          <w:szCs w:val="28"/>
        </w:rPr>
        <w:t>-</w:t>
      </w:r>
      <w:r w:rsidR="00103C73">
        <w:rPr>
          <w:rFonts w:ascii="黑体" w:eastAsia="黑体" w:hAnsi="黑体"/>
          <w:b/>
          <w:bCs/>
          <w:sz w:val="28"/>
          <w:szCs w:val="28"/>
        </w:rPr>
        <w:t>0</w:t>
      </w:r>
      <w:r w:rsidR="00410056">
        <w:rPr>
          <w:rFonts w:ascii="黑体" w:eastAsia="黑体" w:hAnsi="黑体"/>
          <w:b/>
          <w:bCs/>
          <w:sz w:val="28"/>
          <w:szCs w:val="28"/>
        </w:rPr>
        <w:t>17</w:t>
      </w:r>
    </w:p>
    <w:p w14:paraId="14805EA1" w14:textId="77777777" w:rsidR="003A6799" w:rsidRPr="00DE19D2" w:rsidRDefault="003A6799" w:rsidP="00A51B23">
      <w:pPr>
        <w:adjustRightInd w:val="0"/>
        <w:snapToGrid w:val="0"/>
        <w:spacing w:line="360" w:lineRule="auto"/>
        <w:ind w:firstLineChars="200" w:firstLine="480"/>
        <w:rPr>
          <w:rFonts w:ascii="宋体" w:hAnsi="宋体"/>
          <w:sz w:val="24"/>
        </w:rPr>
      </w:pPr>
    </w:p>
    <w:p w14:paraId="7D699D32" w14:textId="77777777" w:rsidR="00962DED" w:rsidRDefault="00DE19D2" w:rsidP="00A51B23">
      <w:pPr>
        <w:spacing w:line="360" w:lineRule="auto"/>
        <w:jc w:val="center"/>
        <w:rPr>
          <w:rFonts w:ascii="黑体" w:eastAsia="黑体" w:hAnsi="黑体"/>
          <w:b/>
          <w:bCs/>
          <w:sz w:val="36"/>
          <w:szCs w:val="36"/>
        </w:rPr>
      </w:pPr>
      <w:r w:rsidRPr="00EC23ED">
        <w:rPr>
          <w:rFonts w:ascii="黑体" w:eastAsia="黑体" w:hAnsi="黑体" w:hint="eastAsia"/>
          <w:b/>
          <w:bCs/>
          <w:sz w:val="36"/>
          <w:szCs w:val="36"/>
        </w:rPr>
        <w:t>深圳市有方科技股份有限公司关于</w:t>
      </w:r>
    </w:p>
    <w:p w14:paraId="1BBB019C" w14:textId="57C08BDC" w:rsidR="003A6799" w:rsidRPr="00EC23ED" w:rsidRDefault="00DE19D2" w:rsidP="00A51B23">
      <w:pPr>
        <w:spacing w:line="360" w:lineRule="auto"/>
        <w:jc w:val="center"/>
        <w:rPr>
          <w:rFonts w:ascii="黑体" w:eastAsia="黑体" w:hAnsi="黑体"/>
          <w:b/>
          <w:bCs/>
          <w:sz w:val="36"/>
          <w:szCs w:val="36"/>
        </w:rPr>
      </w:pPr>
      <w:r w:rsidRPr="00EC23ED">
        <w:rPr>
          <w:rFonts w:ascii="黑体" w:eastAsia="黑体" w:hAnsi="黑体" w:hint="eastAsia"/>
          <w:b/>
          <w:bCs/>
          <w:sz w:val="36"/>
          <w:szCs w:val="36"/>
        </w:rPr>
        <w:t>使用</w:t>
      </w:r>
      <w:r w:rsidR="00EC23ED" w:rsidRPr="00EC23ED">
        <w:rPr>
          <w:rFonts w:ascii="黑体" w:eastAsia="黑体" w:hAnsi="黑体" w:hint="eastAsia"/>
          <w:b/>
          <w:bCs/>
          <w:sz w:val="36"/>
          <w:szCs w:val="36"/>
        </w:rPr>
        <w:t>部分</w:t>
      </w:r>
      <w:r w:rsidRPr="00EC23ED">
        <w:rPr>
          <w:rFonts w:ascii="黑体" w:eastAsia="黑体" w:hAnsi="黑体" w:hint="eastAsia"/>
          <w:b/>
          <w:bCs/>
          <w:sz w:val="36"/>
          <w:szCs w:val="36"/>
        </w:rPr>
        <w:t>闲置</w:t>
      </w:r>
      <w:r w:rsidR="003A6799" w:rsidRPr="00EC23ED">
        <w:rPr>
          <w:rFonts w:ascii="黑体" w:eastAsia="黑体" w:hAnsi="黑体" w:hint="eastAsia"/>
          <w:b/>
          <w:bCs/>
          <w:sz w:val="36"/>
          <w:szCs w:val="36"/>
        </w:rPr>
        <w:t>募集资金</w:t>
      </w:r>
      <w:r w:rsidRPr="00EC23ED">
        <w:rPr>
          <w:rFonts w:ascii="黑体" w:eastAsia="黑体" w:hAnsi="黑体" w:hint="eastAsia"/>
          <w:b/>
          <w:bCs/>
          <w:sz w:val="36"/>
          <w:szCs w:val="36"/>
        </w:rPr>
        <w:t>暂时</w:t>
      </w:r>
      <w:r w:rsidR="003A6799" w:rsidRPr="00EC23ED">
        <w:rPr>
          <w:rFonts w:ascii="黑体" w:eastAsia="黑体" w:hAnsi="黑体" w:hint="eastAsia"/>
          <w:b/>
          <w:bCs/>
          <w:sz w:val="36"/>
          <w:szCs w:val="36"/>
        </w:rPr>
        <w:t>补充流动资金</w:t>
      </w:r>
      <w:r w:rsidRPr="00EC23ED">
        <w:rPr>
          <w:rFonts w:ascii="黑体" w:eastAsia="黑体" w:hAnsi="黑体" w:hint="eastAsia"/>
          <w:b/>
          <w:bCs/>
          <w:sz w:val="36"/>
          <w:szCs w:val="36"/>
        </w:rPr>
        <w:t>的</w:t>
      </w:r>
      <w:r w:rsidR="003A6799" w:rsidRPr="00EC23ED">
        <w:rPr>
          <w:rFonts w:ascii="黑体" w:eastAsia="黑体" w:hAnsi="黑体" w:hint="eastAsia"/>
          <w:b/>
          <w:bCs/>
          <w:sz w:val="36"/>
          <w:szCs w:val="36"/>
        </w:rPr>
        <w:t>公告</w:t>
      </w:r>
    </w:p>
    <w:p w14:paraId="70397D35" w14:textId="77777777" w:rsidR="003A6799" w:rsidRPr="009334EA" w:rsidRDefault="003A6799" w:rsidP="00A51B23">
      <w:pPr>
        <w:spacing w:line="360" w:lineRule="auto"/>
        <w:jc w:val="center"/>
        <w:rPr>
          <w:rFonts w:ascii="宋体" w:hAnsi="宋体"/>
          <w:sz w:val="24"/>
        </w:rPr>
      </w:pPr>
    </w:p>
    <w:p w14:paraId="5F1A0A2E" w14:textId="7B8C16C2" w:rsidR="003A6799" w:rsidRPr="00EE77F0" w:rsidRDefault="003A6799" w:rsidP="00A51B23">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050571DD" w14:textId="77777777" w:rsidR="003A6799" w:rsidRDefault="003A6799" w:rsidP="00A51B23">
      <w:pPr>
        <w:adjustRightInd w:val="0"/>
        <w:snapToGrid w:val="0"/>
        <w:spacing w:line="360" w:lineRule="auto"/>
        <w:ind w:firstLineChars="200" w:firstLine="480"/>
        <w:rPr>
          <w:rFonts w:ascii="宋体" w:hAnsi="宋体"/>
          <w:sz w:val="24"/>
        </w:rPr>
      </w:pPr>
    </w:p>
    <w:p w14:paraId="3CEDD505" w14:textId="77777777" w:rsidR="003A6799" w:rsidRPr="00A24A63" w:rsidRDefault="003A6799" w:rsidP="00A51B23">
      <w:pPr>
        <w:tabs>
          <w:tab w:val="left" w:pos="0"/>
        </w:tabs>
        <w:autoSpaceDE w:val="0"/>
        <w:autoSpaceDN w:val="0"/>
        <w:adjustRightInd w:val="0"/>
        <w:snapToGrid w:val="0"/>
        <w:spacing w:line="360" w:lineRule="auto"/>
        <w:ind w:firstLineChars="200" w:firstLine="562"/>
        <w:rPr>
          <w:rFonts w:ascii="宋体" w:hAnsi="宋体" w:cs="宋体"/>
          <w:b/>
          <w:color w:val="000000"/>
          <w:kern w:val="0"/>
          <w:sz w:val="28"/>
          <w:szCs w:val="28"/>
        </w:rPr>
      </w:pPr>
      <w:r w:rsidRPr="00A24A63">
        <w:rPr>
          <w:rFonts w:ascii="宋体" w:hAnsi="宋体" w:cs="宋体" w:hint="eastAsia"/>
          <w:b/>
          <w:color w:val="000000"/>
          <w:kern w:val="0"/>
          <w:sz w:val="28"/>
          <w:szCs w:val="28"/>
        </w:rPr>
        <w:t>重要内容提示：</w:t>
      </w:r>
    </w:p>
    <w:p w14:paraId="0B120154" w14:textId="581A8A65" w:rsidR="003A6799" w:rsidRPr="00A24A63" w:rsidRDefault="007D7F40" w:rsidP="00A51B23">
      <w:pPr>
        <w:numPr>
          <w:ilvl w:val="0"/>
          <w:numId w:val="1"/>
        </w:numPr>
        <w:tabs>
          <w:tab w:val="clear" w:pos="1050"/>
        </w:tabs>
        <w:autoSpaceDE w:val="0"/>
        <w:autoSpaceDN w:val="0"/>
        <w:adjustRightInd w:val="0"/>
        <w:snapToGrid w:val="0"/>
        <w:spacing w:line="360" w:lineRule="auto"/>
        <w:rPr>
          <w:rFonts w:ascii="宋体" w:hAnsi="宋体" w:cs="宋体"/>
          <w:color w:val="000000"/>
          <w:kern w:val="0"/>
          <w:sz w:val="28"/>
          <w:szCs w:val="28"/>
        </w:rPr>
      </w:pPr>
      <w:r w:rsidRPr="00A24A63">
        <w:rPr>
          <w:rFonts w:ascii="宋体" w:hAnsi="宋体" w:cs="宋体" w:hint="eastAsia"/>
          <w:color w:val="000000"/>
          <w:kern w:val="0"/>
          <w:sz w:val="28"/>
          <w:szCs w:val="28"/>
        </w:rPr>
        <w:t>深圳市有方科技股份有限</w:t>
      </w:r>
      <w:r w:rsidR="003A6799" w:rsidRPr="00A24A63">
        <w:rPr>
          <w:rFonts w:ascii="宋体" w:hAnsi="宋体" w:cs="宋体" w:hint="eastAsia"/>
          <w:color w:val="000000"/>
          <w:kern w:val="0"/>
          <w:sz w:val="28"/>
          <w:szCs w:val="28"/>
        </w:rPr>
        <w:t>公司</w:t>
      </w:r>
      <w:r w:rsidRPr="00A24A63">
        <w:rPr>
          <w:rFonts w:ascii="宋体" w:hAnsi="宋体" w:cs="宋体" w:hint="eastAsia"/>
          <w:color w:val="000000"/>
          <w:kern w:val="0"/>
          <w:sz w:val="28"/>
          <w:szCs w:val="28"/>
        </w:rPr>
        <w:t>及全资子公司（以下简称“公司</w:t>
      </w:r>
      <w:r w:rsidR="00CA699E">
        <w:rPr>
          <w:rFonts w:ascii="宋体" w:hAnsi="宋体" w:cs="宋体" w:hint="eastAsia"/>
          <w:color w:val="000000"/>
          <w:kern w:val="0"/>
          <w:sz w:val="28"/>
          <w:szCs w:val="28"/>
        </w:rPr>
        <w:t>及全资子公司</w:t>
      </w:r>
      <w:r w:rsidRPr="00A24A63">
        <w:rPr>
          <w:rFonts w:ascii="宋体" w:hAnsi="宋体" w:cs="宋体" w:hint="eastAsia"/>
          <w:color w:val="000000"/>
          <w:kern w:val="0"/>
          <w:sz w:val="28"/>
          <w:szCs w:val="28"/>
        </w:rPr>
        <w:t>”）本次拟使用不超过人民币</w:t>
      </w:r>
      <w:r w:rsidR="00410056">
        <w:rPr>
          <w:rFonts w:ascii="宋体" w:hAnsi="宋体" w:cs="宋体"/>
          <w:color w:val="000000"/>
          <w:kern w:val="0"/>
          <w:sz w:val="28"/>
          <w:szCs w:val="28"/>
        </w:rPr>
        <w:t>5</w:t>
      </w:r>
      <w:r w:rsidRPr="00A24A63">
        <w:rPr>
          <w:rFonts w:ascii="宋体" w:hAnsi="宋体" w:cs="宋体" w:hint="eastAsia"/>
          <w:color w:val="000000"/>
          <w:kern w:val="0"/>
          <w:sz w:val="28"/>
          <w:szCs w:val="28"/>
        </w:rPr>
        <w:t>,</w:t>
      </w:r>
      <w:r w:rsidR="009F681C">
        <w:rPr>
          <w:rFonts w:ascii="宋体" w:hAnsi="宋体" w:cs="宋体"/>
          <w:color w:val="000000"/>
          <w:kern w:val="0"/>
          <w:sz w:val="28"/>
          <w:szCs w:val="28"/>
        </w:rPr>
        <w:t>5</w:t>
      </w:r>
      <w:r w:rsidRPr="00A24A63">
        <w:rPr>
          <w:rFonts w:ascii="宋体" w:hAnsi="宋体" w:cs="宋体" w:hint="eastAsia"/>
          <w:color w:val="000000"/>
          <w:kern w:val="0"/>
          <w:sz w:val="28"/>
          <w:szCs w:val="28"/>
        </w:rPr>
        <w:t>00万元</w:t>
      </w:r>
      <w:r w:rsidR="00EC23ED">
        <w:rPr>
          <w:rFonts w:ascii="宋体" w:hAnsi="宋体" w:cs="宋体" w:hint="eastAsia"/>
          <w:color w:val="000000"/>
          <w:kern w:val="0"/>
          <w:sz w:val="28"/>
          <w:szCs w:val="28"/>
        </w:rPr>
        <w:t>（含本数）</w:t>
      </w:r>
      <w:r w:rsidRPr="00A24A63">
        <w:rPr>
          <w:rFonts w:ascii="宋体" w:hAnsi="宋体" w:cs="宋体" w:hint="eastAsia"/>
          <w:color w:val="000000"/>
          <w:kern w:val="0"/>
          <w:sz w:val="28"/>
          <w:szCs w:val="28"/>
        </w:rPr>
        <w:t>闲置募集资金暂时补充流动资金，并仅用于公司的日常经营、业务拓展等与主营业务相关的生产经营活动。</w:t>
      </w:r>
    </w:p>
    <w:p w14:paraId="61EB05BB" w14:textId="43F4EA43" w:rsidR="007D7F40" w:rsidRDefault="007D7F40" w:rsidP="00A51B23">
      <w:pPr>
        <w:numPr>
          <w:ilvl w:val="0"/>
          <w:numId w:val="1"/>
        </w:numPr>
        <w:tabs>
          <w:tab w:val="clear" w:pos="1050"/>
        </w:tabs>
        <w:autoSpaceDE w:val="0"/>
        <w:autoSpaceDN w:val="0"/>
        <w:adjustRightInd w:val="0"/>
        <w:snapToGrid w:val="0"/>
        <w:spacing w:line="360" w:lineRule="auto"/>
        <w:rPr>
          <w:rFonts w:ascii="宋体" w:hAnsi="宋体" w:cs="宋体"/>
          <w:color w:val="000000"/>
          <w:kern w:val="0"/>
          <w:sz w:val="28"/>
          <w:szCs w:val="28"/>
        </w:rPr>
      </w:pPr>
      <w:r w:rsidRPr="00A24A63">
        <w:rPr>
          <w:rFonts w:ascii="宋体" w:hAnsi="宋体" w:cs="宋体" w:hint="eastAsia"/>
          <w:color w:val="000000"/>
          <w:kern w:val="0"/>
          <w:sz w:val="28"/>
          <w:szCs w:val="28"/>
        </w:rPr>
        <w:t>公司</w:t>
      </w:r>
      <w:r w:rsidR="00DD1146">
        <w:rPr>
          <w:rFonts w:ascii="宋体" w:hAnsi="宋体" w:cs="宋体" w:hint="eastAsia"/>
          <w:color w:val="000000"/>
          <w:kern w:val="0"/>
          <w:sz w:val="28"/>
          <w:szCs w:val="28"/>
        </w:rPr>
        <w:t>及全资子公司</w:t>
      </w:r>
      <w:r w:rsidRPr="00A24A63">
        <w:rPr>
          <w:rFonts w:ascii="宋体" w:hAnsi="宋体" w:cs="宋体" w:hint="eastAsia"/>
          <w:color w:val="000000"/>
          <w:kern w:val="0"/>
          <w:sz w:val="28"/>
          <w:szCs w:val="28"/>
        </w:rPr>
        <w:t>拟使用闲置募集资金暂时补充流动资金的使用期限自公司董事会审议通过之日起不超过 12个月。</w:t>
      </w:r>
    </w:p>
    <w:p w14:paraId="25CBF3AB" w14:textId="76DA6679" w:rsidR="00537E5F" w:rsidRPr="00A24A63" w:rsidRDefault="00537E5F" w:rsidP="00A51B23">
      <w:pPr>
        <w:numPr>
          <w:ilvl w:val="0"/>
          <w:numId w:val="1"/>
        </w:numPr>
        <w:tabs>
          <w:tab w:val="clear" w:pos="1050"/>
        </w:tabs>
        <w:autoSpaceDE w:val="0"/>
        <w:autoSpaceDN w:val="0"/>
        <w:adjustRightInd w:val="0"/>
        <w:snapToGrid w:val="0"/>
        <w:spacing w:line="360" w:lineRule="auto"/>
        <w:rPr>
          <w:rFonts w:ascii="宋体" w:hAnsi="宋体" w:cs="宋体"/>
          <w:color w:val="000000"/>
          <w:kern w:val="0"/>
          <w:sz w:val="28"/>
          <w:szCs w:val="28"/>
        </w:rPr>
      </w:pPr>
      <w:r>
        <w:rPr>
          <w:rFonts w:ascii="宋体" w:hAnsi="宋体" w:cs="宋体" w:hint="eastAsia"/>
          <w:color w:val="000000"/>
          <w:kern w:val="0"/>
          <w:sz w:val="28"/>
          <w:szCs w:val="28"/>
        </w:rPr>
        <w:t>截至</w:t>
      </w:r>
      <w:r w:rsidR="00AC4C19">
        <w:rPr>
          <w:rFonts w:ascii="宋体" w:hAnsi="宋体" w:cs="宋体" w:hint="eastAsia"/>
          <w:color w:val="000000"/>
          <w:kern w:val="0"/>
          <w:sz w:val="28"/>
          <w:szCs w:val="28"/>
        </w:rPr>
        <w:t>本公告披露日</w:t>
      </w:r>
      <w:r>
        <w:rPr>
          <w:rFonts w:ascii="宋体" w:hAnsi="宋体" w:cs="宋体" w:hint="eastAsia"/>
          <w:color w:val="000000"/>
          <w:kern w:val="0"/>
          <w:sz w:val="28"/>
          <w:szCs w:val="28"/>
        </w:rPr>
        <w:t>，</w:t>
      </w:r>
      <w:r w:rsidRPr="00537E5F">
        <w:rPr>
          <w:rFonts w:ascii="宋体" w:hAnsi="宋体" w:cs="宋体" w:hint="eastAsia"/>
          <w:color w:val="000000"/>
          <w:kern w:val="0"/>
          <w:sz w:val="28"/>
          <w:szCs w:val="28"/>
        </w:rPr>
        <w:t>公司已将前次用于暂时补充流动资金的</w:t>
      </w:r>
      <w:r w:rsidR="00A1746A">
        <w:rPr>
          <w:rFonts w:ascii="宋体" w:hAnsi="宋体" w:cs="宋体"/>
          <w:color w:val="000000"/>
          <w:kern w:val="0"/>
          <w:sz w:val="28"/>
          <w:szCs w:val="28"/>
        </w:rPr>
        <w:t>6</w:t>
      </w:r>
      <w:r>
        <w:rPr>
          <w:rFonts w:ascii="宋体" w:hAnsi="宋体" w:cs="宋体"/>
          <w:color w:val="000000"/>
          <w:kern w:val="0"/>
          <w:sz w:val="28"/>
          <w:szCs w:val="28"/>
        </w:rPr>
        <w:t>,0</w:t>
      </w:r>
      <w:r w:rsidRPr="00537E5F">
        <w:rPr>
          <w:rFonts w:ascii="宋体" w:hAnsi="宋体" w:cs="宋体" w:hint="eastAsia"/>
          <w:color w:val="000000"/>
          <w:kern w:val="0"/>
          <w:sz w:val="28"/>
          <w:szCs w:val="28"/>
        </w:rPr>
        <w:t>00万元募集资金按期归还至募集资金账户。</w:t>
      </w:r>
    </w:p>
    <w:p w14:paraId="205E813C" w14:textId="33986A94" w:rsidR="007D7F40" w:rsidRPr="00A24A63" w:rsidRDefault="007D7F40" w:rsidP="00A51B23">
      <w:pPr>
        <w:autoSpaceDE w:val="0"/>
        <w:autoSpaceDN w:val="0"/>
        <w:adjustRightInd w:val="0"/>
        <w:spacing w:line="360" w:lineRule="auto"/>
        <w:ind w:firstLineChars="200" w:firstLine="560"/>
        <w:rPr>
          <w:rFonts w:ascii="宋体" w:hAnsi="Calibri" w:cs="宋体"/>
          <w:kern w:val="0"/>
          <w:sz w:val="28"/>
          <w:szCs w:val="28"/>
        </w:rPr>
      </w:pPr>
      <w:r w:rsidRPr="00A24A63">
        <w:rPr>
          <w:rFonts w:ascii="宋体" w:hAnsi="Calibri" w:cs="宋体" w:hint="eastAsia"/>
          <w:kern w:val="0"/>
          <w:sz w:val="28"/>
          <w:szCs w:val="28"/>
        </w:rPr>
        <w:t>公司于202</w:t>
      </w:r>
      <w:r w:rsidR="00410056">
        <w:rPr>
          <w:rFonts w:ascii="宋体" w:hAnsi="Calibri" w:cs="宋体"/>
          <w:kern w:val="0"/>
          <w:sz w:val="28"/>
          <w:szCs w:val="28"/>
        </w:rPr>
        <w:t>5</w:t>
      </w:r>
      <w:r w:rsidRPr="00A24A63">
        <w:rPr>
          <w:rFonts w:ascii="宋体" w:hAnsi="Calibri" w:cs="宋体" w:hint="eastAsia"/>
          <w:kern w:val="0"/>
          <w:sz w:val="28"/>
          <w:szCs w:val="28"/>
        </w:rPr>
        <w:t>年</w:t>
      </w:r>
      <w:r w:rsidR="00A1746A">
        <w:rPr>
          <w:rFonts w:ascii="宋体" w:hAnsi="Calibri" w:cs="宋体"/>
          <w:kern w:val="0"/>
          <w:sz w:val="28"/>
          <w:szCs w:val="28"/>
        </w:rPr>
        <w:t>3</w:t>
      </w:r>
      <w:r w:rsidR="0058171E" w:rsidRPr="00A24A63">
        <w:rPr>
          <w:rFonts w:ascii="宋体" w:hAnsi="Calibri" w:cs="宋体" w:hint="eastAsia"/>
          <w:kern w:val="0"/>
          <w:sz w:val="28"/>
          <w:szCs w:val="28"/>
        </w:rPr>
        <w:t>月</w:t>
      </w:r>
      <w:r w:rsidR="006839BD">
        <w:rPr>
          <w:rFonts w:ascii="宋体" w:hAnsi="Calibri" w:cs="宋体"/>
          <w:kern w:val="0"/>
          <w:sz w:val="28"/>
          <w:szCs w:val="28"/>
        </w:rPr>
        <w:t>1</w:t>
      </w:r>
      <w:r w:rsidR="00410056">
        <w:rPr>
          <w:rFonts w:ascii="宋体" w:hAnsi="Calibri" w:cs="宋体"/>
          <w:kern w:val="0"/>
          <w:sz w:val="28"/>
          <w:szCs w:val="28"/>
        </w:rPr>
        <w:t>2</w:t>
      </w:r>
      <w:r w:rsidR="0058171E" w:rsidRPr="00A24A63">
        <w:rPr>
          <w:rFonts w:ascii="宋体" w:hAnsi="Calibri" w:cs="宋体" w:hint="eastAsia"/>
          <w:kern w:val="0"/>
          <w:sz w:val="28"/>
          <w:szCs w:val="28"/>
        </w:rPr>
        <w:t>日</w:t>
      </w:r>
      <w:r w:rsidRPr="00A24A63">
        <w:rPr>
          <w:rFonts w:ascii="宋体" w:hAnsi="Calibri" w:cs="宋体" w:hint="eastAsia"/>
          <w:kern w:val="0"/>
          <w:sz w:val="28"/>
          <w:szCs w:val="28"/>
        </w:rPr>
        <w:t>召开第</w:t>
      </w:r>
      <w:r w:rsidR="00410056">
        <w:rPr>
          <w:rFonts w:ascii="宋体" w:hAnsi="Calibri" w:cs="宋体" w:hint="eastAsia"/>
          <w:kern w:val="0"/>
          <w:sz w:val="28"/>
          <w:szCs w:val="28"/>
        </w:rPr>
        <w:t>四</w:t>
      </w:r>
      <w:r w:rsidRPr="00A24A63">
        <w:rPr>
          <w:rFonts w:ascii="宋体" w:hAnsi="Calibri" w:cs="宋体" w:hint="eastAsia"/>
          <w:kern w:val="0"/>
          <w:sz w:val="28"/>
          <w:szCs w:val="28"/>
        </w:rPr>
        <w:t>届董事会第</w:t>
      </w:r>
      <w:r w:rsidR="00410056">
        <w:rPr>
          <w:rFonts w:ascii="宋体" w:hAnsi="Calibri" w:cs="宋体" w:hint="eastAsia"/>
          <w:kern w:val="0"/>
          <w:sz w:val="28"/>
          <w:szCs w:val="28"/>
        </w:rPr>
        <w:t>四</w:t>
      </w:r>
      <w:r w:rsidRPr="00A24A63">
        <w:rPr>
          <w:rFonts w:ascii="宋体" w:hAnsi="Calibri" w:cs="宋体" w:hint="eastAsia"/>
          <w:kern w:val="0"/>
          <w:sz w:val="28"/>
          <w:szCs w:val="28"/>
        </w:rPr>
        <w:t>次会议、第</w:t>
      </w:r>
      <w:r w:rsidR="00410056">
        <w:rPr>
          <w:rFonts w:ascii="宋体" w:hAnsi="Calibri" w:cs="宋体" w:hint="eastAsia"/>
          <w:kern w:val="0"/>
          <w:sz w:val="28"/>
          <w:szCs w:val="28"/>
        </w:rPr>
        <w:t>四</w:t>
      </w:r>
      <w:r w:rsidRPr="00A24A63">
        <w:rPr>
          <w:rFonts w:ascii="宋体" w:hAnsi="Calibri" w:cs="宋体" w:hint="eastAsia"/>
          <w:kern w:val="0"/>
          <w:sz w:val="28"/>
          <w:szCs w:val="28"/>
        </w:rPr>
        <w:t>届监事会第</w:t>
      </w:r>
      <w:r w:rsidR="00410056">
        <w:rPr>
          <w:rFonts w:ascii="宋体" w:hAnsi="Calibri" w:cs="宋体" w:hint="eastAsia"/>
          <w:kern w:val="0"/>
          <w:sz w:val="28"/>
          <w:szCs w:val="28"/>
        </w:rPr>
        <w:t>三</w:t>
      </w:r>
      <w:r w:rsidRPr="00A24A63">
        <w:rPr>
          <w:rFonts w:ascii="宋体" w:hAnsi="Calibri" w:cs="宋体" w:hint="eastAsia"/>
          <w:kern w:val="0"/>
          <w:sz w:val="28"/>
          <w:szCs w:val="28"/>
        </w:rPr>
        <w:t>次会议，审议通过了《关于使用</w:t>
      </w:r>
      <w:r w:rsidR="0095080C">
        <w:rPr>
          <w:rFonts w:ascii="宋体" w:hAnsi="Calibri" w:cs="宋体" w:hint="eastAsia"/>
          <w:kern w:val="0"/>
          <w:sz w:val="28"/>
          <w:szCs w:val="28"/>
        </w:rPr>
        <w:t>部分</w:t>
      </w:r>
      <w:r w:rsidRPr="00A24A63">
        <w:rPr>
          <w:rFonts w:ascii="宋体" w:hAnsi="Calibri" w:cs="宋体" w:hint="eastAsia"/>
          <w:kern w:val="0"/>
          <w:sz w:val="28"/>
          <w:szCs w:val="28"/>
        </w:rPr>
        <w:t>闲置募集资金暂时补充流动资金的议案》。根据募集资金投资项目的资金使用计划及项目的建设进度，公司</w:t>
      </w:r>
      <w:r w:rsidR="00DD1146">
        <w:rPr>
          <w:rFonts w:ascii="宋体" w:hAnsi="Calibri" w:cs="宋体" w:hint="eastAsia"/>
          <w:kern w:val="0"/>
          <w:sz w:val="28"/>
          <w:szCs w:val="28"/>
        </w:rPr>
        <w:t>及全资子公司</w:t>
      </w:r>
      <w:r w:rsidRPr="00A24A63">
        <w:rPr>
          <w:rFonts w:ascii="宋体" w:hAnsi="Calibri" w:cs="宋体" w:hint="eastAsia"/>
          <w:kern w:val="0"/>
          <w:sz w:val="28"/>
          <w:szCs w:val="28"/>
        </w:rPr>
        <w:t>在确保不影响募集资金投资项目建设进度的前提下，为了提高募集资金使用效率、降低公司财务成本、解决公司运营发展的资金需求，董事会同意公司使用部分闲置募集资金暂时补充流动资金</w:t>
      </w:r>
      <w:r w:rsidR="00806EEE" w:rsidRPr="00A24A63">
        <w:rPr>
          <w:rFonts w:ascii="宋体" w:hAnsi="Calibri" w:cs="宋体" w:hint="eastAsia"/>
          <w:kern w:val="0"/>
          <w:sz w:val="28"/>
          <w:szCs w:val="28"/>
        </w:rPr>
        <w:t>，单次补充流动资金时间不得超过12个月。</w:t>
      </w:r>
    </w:p>
    <w:p w14:paraId="6ED3330C" w14:textId="16B1C202" w:rsidR="003A6799" w:rsidRPr="00A24A63" w:rsidRDefault="003A6799" w:rsidP="00A51B23">
      <w:pPr>
        <w:pStyle w:val="a4"/>
        <w:numPr>
          <w:ilvl w:val="0"/>
          <w:numId w:val="3"/>
        </w:numPr>
        <w:autoSpaceDE w:val="0"/>
        <w:autoSpaceDN w:val="0"/>
        <w:adjustRightInd w:val="0"/>
        <w:spacing w:line="360" w:lineRule="auto"/>
        <w:ind w:firstLineChars="0"/>
        <w:jc w:val="left"/>
        <w:rPr>
          <w:rFonts w:ascii="宋体" w:hAnsi="Calibri" w:cs="宋体"/>
          <w:b/>
          <w:kern w:val="0"/>
          <w:sz w:val="28"/>
          <w:szCs w:val="28"/>
        </w:rPr>
      </w:pPr>
      <w:r w:rsidRPr="00A24A63">
        <w:rPr>
          <w:rFonts w:ascii="宋体" w:hAnsi="Calibri" w:cs="宋体" w:hint="eastAsia"/>
          <w:b/>
          <w:kern w:val="0"/>
          <w:sz w:val="28"/>
          <w:szCs w:val="28"/>
        </w:rPr>
        <w:t>募集资金基本情况</w:t>
      </w:r>
    </w:p>
    <w:p w14:paraId="2D5BF387" w14:textId="77777777" w:rsidR="003779AD" w:rsidRPr="00A24A63" w:rsidRDefault="003779AD" w:rsidP="00A51B23">
      <w:pPr>
        <w:autoSpaceDE w:val="0"/>
        <w:autoSpaceDN w:val="0"/>
        <w:adjustRightInd w:val="0"/>
        <w:spacing w:line="360" w:lineRule="auto"/>
        <w:ind w:firstLineChars="200" w:firstLine="560"/>
        <w:rPr>
          <w:rFonts w:ascii="宋体" w:hAnsi="Calibri" w:cs="宋体"/>
          <w:kern w:val="0"/>
          <w:sz w:val="28"/>
          <w:szCs w:val="28"/>
        </w:rPr>
      </w:pPr>
      <w:r w:rsidRPr="00A24A63">
        <w:rPr>
          <w:rFonts w:ascii="宋体" w:hAnsi="Calibri" w:cs="宋体" w:hint="eastAsia"/>
          <w:kern w:val="0"/>
          <w:sz w:val="28"/>
          <w:szCs w:val="28"/>
        </w:rPr>
        <w:lastRenderedPageBreak/>
        <w:t>经中国证券监督管理委员会出具的《关于同意深圳市有方科技股份有限公司首次公开发行股票注册的批复》（证监许可[2019]2971号）核准，公司首次向社会公开发行人民币普通股（A股）2,292万股，每股发行价格20.35元，募集资金总额为466,422.000.00元，扣除发行费用后募集资金净额为412,662,868.55元。立信会计师事务所（特殊普通合伙）对有方科技首次公开发行股票的资金到位情况进行了审验，并出具了《验资报告》（[2020]第ZI10010号）。</w:t>
      </w:r>
    </w:p>
    <w:p w14:paraId="009607B1" w14:textId="5BCD2F92" w:rsidR="003779AD" w:rsidRDefault="003779AD" w:rsidP="00A51B23">
      <w:pPr>
        <w:autoSpaceDE w:val="0"/>
        <w:autoSpaceDN w:val="0"/>
        <w:adjustRightInd w:val="0"/>
        <w:spacing w:line="360" w:lineRule="auto"/>
        <w:ind w:firstLineChars="200" w:firstLine="560"/>
        <w:rPr>
          <w:rFonts w:ascii="宋体" w:hAnsi="Calibri" w:cs="宋体"/>
          <w:kern w:val="0"/>
          <w:sz w:val="28"/>
          <w:szCs w:val="28"/>
        </w:rPr>
      </w:pPr>
      <w:r w:rsidRPr="00A24A63">
        <w:rPr>
          <w:rFonts w:ascii="宋体" w:hAnsi="Calibri" w:cs="宋体" w:hint="eastAsia"/>
          <w:kern w:val="0"/>
          <w:sz w:val="28"/>
          <w:szCs w:val="28"/>
        </w:rPr>
        <w:t>公司对上述募集资金进行专户存储管理，扣除保荐及承销费用后的募集资金已存入募集资金专户，并已与存放募集资金的商业银行、保荐机构签订了《募集资金三方监管协议》和《募集资金四方监管协议》。</w:t>
      </w:r>
    </w:p>
    <w:p w14:paraId="363F3BD8" w14:textId="7DA9A9F7" w:rsidR="00537E5F" w:rsidRPr="00537E5F" w:rsidRDefault="00537E5F" w:rsidP="00A51B23">
      <w:pPr>
        <w:pStyle w:val="a4"/>
        <w:numPr>
          <w:ilvl w:val="0"/>
          <w:numId w:val="3"/>
        </w:numPr>
        <w:autoSpaceDE w:val="0"/>
        <w:autoSpaceDN w:val="0"/>
        <w:adjustRightInd w:val="0"/>
        <w:spacing w:line="360" w:lineRule="auto"/>
        <w:ind w:firstLineChars="0"/>
        <w:jc w:val="left"/>
        <w:rPr>
          <w:rFonts w:ascii="宋体" w:hAnsi="Calibri" w:cs="宋体"/>
          <w:kern w:val="0"/>
          <w:sz w:val="28"/>
          <w:szCs w:val="28"/>
        </w:rPr>
      </w:pPr>
      <w:r w:rsidRPr="00537E5F">
        <w:rPr>
          <w:rFonts w:ascii="宋体" w:hAnsi="Calibri" w:cs="宋体" w:hint="eastAsia"/>
          <w:b/>
          <w:kern w:val="0"/>
          <w:sz w:val="28"/>
          <w:szCs w:val="28"/>
        </w:rPr>
        <w:t>前次用于暂时补充流动资金的募集资金归还情况</w:t>
      </w:r>
    </w:p>
    <w:p w14:paraId="40943321" w14:textId="15857EB3" w:rsidR="0095080C" w:rsidRPr="0095080C" w:rsidRDefault="001A5C2B" w:rsidP="0095080C">
      <w:pPr>
        <w:spacing w:line="600" w:lineRule="exact"/>
        <w:ind w:firstLineChars="200" w:firstLine="560"/>
        <w:rPr>
          <w:kern w:val="0"/>
          <w:sz w:val="28"/>
          <w:szCs w:val="28"/>
        </w:rPr>
      </w:pPr>
      <w:r w:rsidRPr="00895939">
        <w:rPr>
          <w:kern w:val="0"/>
          <w:sz w:val="28"/>
          <w:szCs w:val="28"/>
        </w:rPr>
        <w:t>202</w:t>
      </w:r>
      <w:r w:rsidR="00410056">
        <w:rPr>
          <w:kern w:val="0"/>
          <w:sz w:val="28"/>
          <w:szCs w:val="28"/>
        </w:rPr>
        <w:t>4</w:t>
      </w:r>
      <w:r w:rsidRPr="00895939">
        <w:rPr>
          <w:kern w:val="0"/>
          <w:sz w:val="28"/>
          <w:szCs w:val="28"/>
        </w:rPr>
        <w:t>年</w:t>
      </w:r>
      <w:r w:rsidR="00410056">
        <w:rPr>
          <w:kern w:val="0"/>
          <w:sz w:val="28"/>
          <w:szCs w:val="28"/>
        </w:rPr>
        <w:t>3</w:t>
      </w:r>
      <w:r w:rsidRPr="00895939">
        <w:rPr>
          <w:kern w:val="0"/>
          <w:sz w:val="28"/>
          <w:szCs w:val="28"/>
        </w:rPr>
        <w:t>月</w:t>
      </w:r>
      <w:r w:rsidR="00A1746A">
        <w:rPr>
          <w:kern w:val="0"/>
          <w:sz w:val="28"/>
          <w:szCs w:val="28"/>
        </w:rPr>
        <w:t>1</w:t>
      </w:r>
      <w:r w:rsidR="00410056">
        <w:rPr>
          <w:kern w:val="0"/>
          <w:sz w:val="28"/>
          <w:szCs w:val="28"/>
        </w:rPr>
        <w:t>1</w:t>
      </w:r>
      <w:r w:rsidRPr="00895939">
        <w:rPr>
          <w:kern w:val="0"/>
          <w:sz w:val="28"/>
          <w:szCs w:val="28"/>
        </w:rPr>
        <w:t>日，</w:t>
      </w:r>
      <w:r w:rsidR="00AC4C19">
        <w:rPr>
          <w:rFonts w:hint="eastAsia"/>
          <w:kern w:val="0"/>
          <w:sz w:val="28"/>
          <w:szCs w:val="28"/>
        </w:rPr>
        <w:t>公司</w:t>
      </w:r>
      <w:r w:rsidR="00AC4C19" w:rsidRPr="00A24A63">
        <w:rPr>
          <w:rFonts w:ascii="宋体" w:hAnsi="Calibri" w:cs="宋体" w:hint="eastAsia"/>
          <w:kern w:val="0"/>
          <w:sz w:val="28"/>
          <w:szCs w:val="28"/>
        </w:rPr>
        <w:t>召开</w:t>
      </w:r>
      <w:r w:rsidR="00AC4C19">
        <w:rPr>
          <w:rFonts w:ascii="宋体" w:hAnsi="Calibri" w:cs="宋体" w:hint="eastAsia"/>
          <w:kern w:val="0"/>
          <w:sz w:val="28"/>
          <w:szCs w:val="28"/>
        </w:rPr>
        <w:t>了</w:t>
      </w:r>
      <w:r w:rsidR="00AC4C19" w:rsidRPr="00A24A63">
        <w:rPr>
          <w:rFonts w:ascii="宋体" w:hAnsi="Calibri" w:cs="宋体" w:hint="eastAsia"/>
          <w:kern w:val="0"/>
          <w:sz w:val="28"/>
          <w:szCs w:val="28"/>
        </w:rPr>
        <w:t>第</w:t>
      </w:r>
      <w:r w:rsidR="00AC4C19">
        <w:rPr>
          <w:rFonts w:ascii="宋体" w:hAnsi="Calibri" w:cs="宋体" w:hint="eastAsia"/>
          <w:kern w:val="0"/>
          <w:sz w:val="28"/>
          <w:szCs w:val="28"/>
        </w:rPr>
        <w:t>三</w:t>
      </w:r>
      <w:r w:rsidR="00AC4C19" w:rsidRPr="00A24A63">
        <w:rPr>
          <w:rFonts w:ascii="宋体" w:hAnsi="Calibri" w:cs="宋体" w:hint="eastAsia"/>
          <w:kern w:val="0"/>
          <w:sz w:val="28"/>
          <w:szCs w:val="28"/>
        </w:rPr>
        <w:t>届董事会第</w:t>
      </w:r>
      <w:r w:rsidR="00410056">
        <w:rPr>
          <w:rFonts w:ascii="宋体" w:hAnsi="Calibri" w:cs="宋体" w:hint="eastAsia"/>
          <w:kern w:val="0"/>
          <w:sz w:val="28"/>
          <w:szCs w:val="28"/>
        </w:rPr>
        <w:t>二十</w:t>
      </w:r>
      <w:r w:rsidR="00D36389">
        <w:rPr>
          <w:rFonts w:ascii="宋体" w:hAnsi="Calibri" w:cs="宋体" w:hint="eastAsia"/>
          <w:kern w:val="0"/>
          <w:sz w:val="28"/>
          <w:szCs w:val="28"/>
        </w:rPr>
        <w:t>六</w:t>
      </w:r>
      <w:r w:rsidR="00AC4C19" w:rsidRPr="00A24A63">
        <w:rPr>
          <w:rFonts w:ascii="宋体" w:hAnsi="Calibri" w:cs="宋体" w:hint="eastAsia"/>
          <w:kern w:val="0"/>
          <w:sz w:val="28"/>
          <w:szCs w:val="28"/>
        </w:rPr>
        <w:t>次会议、第</w:t>
      </w:r>
      <w:r w:rsidR="00AC4C19">
        <w:rPr>
          <w:rFonts w:ascii="宋体" w:hAnsi="Calibri" w:cs="宋体" w:hint="eastAsia"/>
          <w:kern w:val="0"/>
          <w:sz w:val="28"/>
          <w:szCs w:val="28"/>
        </w:rPr>
        <w:t>三</w:t>
      </w:r>
      <w:r w:rsidR="00AC4C19" w:rsidRPr="00A24A63">
        <w:rPr>
          <w:rFonts w:ascii="宋体" w:hAnsi="Calibri" w:cs="宋体" w:hint="eastAsia"/>
          <w:kern w:val="0"/>
          <w:sz w:val="28"/>
          <w:szCs w:val="28"/>
        </w:rPr>
        <w:t>届监事会第</w:t>
      </w:r>
      <w:r w:rsidR="00410056">
        <w:rPr>
          <w:rFonts w:ascii="宋体" w:hAnsi="Calibri" w:cs="宋体" w:hint="eastAsia"/>
          <w:kern w:val="0"/>
          <w:sz w:val="28"/>
          <w:szCs w:val="28"/>
        </w:rPr>
        <w:t>二十二</w:t>
      </w:r>
      <w:r w:rsidR="00AC4C19" w:rsidRPr="00A24A63">
        <w:rPr>
          <w:rFonts w:ascii="宋体" w:hAnsi="Calibri" w:cs="宋体" w:hint="eastAsia"/>
          <w:kern w:val="0"/>
          <w:sz w:val="28"/>
          <w:szCs w:val="28"/>
        </w:rPr>
        <w:t>次会议，审议通过了《关于使用</w:t>
      </w:r>
      <w:r w:rsidR="00AC4C19">
        <w:rPr>
          <w:rFonts w:ascii="宋体" w:hAnsi="Calibri" w:cs="宋体" w:hint="eastAsia"/>
          <w:kern w:val="0"/>
          <w:sz w:val="28"/>
          <w:szCs w:val="28"/>
        </w:rPr>
        <w:t>部分</w:t>
      </w:r>
      <w:r w:rsidR="00AC4C19" w:rsidRPr="00A24A63">
        <w:rPr>
          <w:rFonts w:ascii="宋体" w:hAnsi="Calibri" w:cs="宋体" w:hint="eastAsia"/>
          <w:kern w:val="0"/>
          <w:sz w:val="28"/>
          <w:szCs w:val="28"/>
        </w:rPr>
        <w:t>闲置募集资金暂时补充流动资金的议案》</w:t>
      </w:r>
      <w:r w:rsidRPr="00895939">
        <w:rPr>
          <w:kern w:val="0"/>
          <w:sz w:val="28"/>
          <w:szCs w:val="28"/>
        </w:rPr>
        <w:t>，同意公司及全资子公司在确保不影响募集资金投资项目建设进度的前提下，</w:t>
      </w:r>
      <w:r w:rsidR="0095080C" w:rsidRPr="0095080C">
        <w:rPr>
          <w:rFonts w:hint="eastAsia"/>
          <w:kern w:val="0"/>
          <w:sz w:val="28"/>
          <w:szCs w:val="28"/>
        </w:rPr>
        <w:t>使用不超过人民币</w:t>
      </w:r>
      <w:r w:rsidR="00572033">
        <w:rPr>
          <w:kern w:val="0"/>
          <w:sz w:val="28"/>
          <w:szCs w:val="28"/>
        </w:rPr>
        <w:t>6</w:t>
      </w:r>
      <w:r w:rsidR="0095080C" w:rsidRPr="0095080C">
        <w:rPr>
          <w:rFonts w:hint="eastAsia"/>
          <w:kern w:val="0"/>
          <w:sz w:val="28"/>
          <w:szCs w:val="28"/>
        </w:rPr>
        <w:t>,000</w:t>
      </w:r>
      <w:r w:rsidR="0095080C" w:rsidRPr="0095080C">
        <w:rPr>
          <w:rFonts w:hint="eastAsia"/>
          <w:kern w:val="0"/>
          <w:sz w:val="28"/>
          <w:szCs w:val="28"/>
        </w:rPr>
        <w:t>万元（含本数）的闲置募集资金暂时补充流动资金</w:t>
      </w:r>
      <w:r w:rsidR="0095080C">
        <w:rPr>
          <w:rFonts w:hint="eastAsia"/>
          <w:kern w:val="0"/>
          <w:sz w:val="28"/>
          <w:szCs w:val="28"/>
        </w:rPr>
        <w:t>，</w:t>
      </w:r>
      <w:r w:rsidRPr="00895939">
        <w:rPr>
          <w:kern w:val="0"/>
          <w:sz w:val="28"/>
          <w:szCs w:val="28"/>
        </w:rPr>
        <w:t>单次补充流动资金时间不得超过</w:t>
      </w:r>
      <w:r w:rsidRPr="00895939">
        <w:rPr>
          <w:kern w:val="0"/>
          <w:sz w:val="28"/>
          <w:szCs w:val="28"/>
        </w:rPr>
        <w:t>12</w:t>
      </w:r>
      <w:r w:rsidRPr="00895939">
        <w:rPr>
          <w:kern w:val="0"/>
          <w:sz w:val="28"/>
          <w:szCs w:val="28"/>
        </w:rPr>
        <w:t>个月</w:t>
      </w:r>
      <w:r w:rsidR="006839BD">
        <w:rPr>
          <w:kern w:val="0"/>
          <w:sz w:val="28"/>
          <w:szCs w:val="28"/>
        </w:rPr>
        <w:t>，</w:t>
      </w:r>
      <w:r w:rsidR="0095080C" w:rsidRPr="00375F74">
        <w:rPr>
          <w:rFonts w:ascii="宋体" w:hAnsi="宋体" w:hint="eastAsia"/>
          <w:sz w:val="28"/>
          <w:szCs w:val="28"/>
        </w:rPr>
        <w:t>详见公司于202</w:t>
      </w:r>
      <w:r w:rsidR="00410056">
        <w:rPr>
          <w:rFonts w:ascii="宋体" w:hAnsi="宋体"/>
          <w:sz w:val="28"/>
          <w:szCs w:val="28"/>
        </w:rPr>
        <w:t>4</w:t>
      </w:r>
      <w:r w:rsidR="0095080C" w:rsidRPr="00375F74">
        <w:rPr>
          <w:rFonts w:ascii="宋体" w:hAnsi="宋体" w:hint="eastAsia"/>
          <w:sz w:val="28"/>
          <w:szCs w:val="28"/>
        </w:rPr>
        <w:t>年</w:t>
      </w:r>
      <w:r w:rsidR="00410056">
        <w:rPr>
          <w:rFonts w:ascii="宋体" w:hAnsi="宋体"/>
          <w:sz w:val="28"/>
          <w:szCs w:val="28"/>
        </w:rPr>
        <w:t>3</w:t>
      </w:r>
      <w:r w:rsidR="0095080C" w:rsidRPr="00375F74">
        <w:rPr>
          <w:rFonts w:ascii="宋体" w:hAnsi="宋体" w:hint="eastAsia"/>
          <w:sz w:val="28"/>
          <w:szCs w:val="28"/>
        </w:rPr>
        <w:t>月</w:t>
      </w:r>
      <w:r w:rsidR="00572033">
        <w:rPr>
          <w:rFonts w:ascii="宋体" w:hAnsi="宋体"/>
          <w:sz w:val="28"/>
          <w:szCs w:val="28"/>
        </w:rPr>
        <w:t>12</w:t>
      </w:r>
      <w:r w:rsidR="0095080C" w:rsidRPr="00375F74">
        <w:rPr>
          <w:rFonts w:ascii="宋体" w:hAnsi="宋体" w:hint="eastAsia"/>
          <w:sz w:val="28"/>
          <w:szCs w:val="28"/>
        </w:rPr>
        <w:t>日在上海证券交易所网站（www.sse.com.cn）披露的《</w:t>
      </w:r>
      <w:r w:rsidR="0095080C">
        <w:rPr>
          <w:rFonts w:ascii="宋体" w:hAnsi="宋体" w:hint="eastAsia"/>
          <w:sz w:val="28"/>
          <w:szCs w:val="28"/>
        </w:rPr>
        <w:t>有方科技：</w:t>
      </w:r>
      <w:r w:rsidR="0095080C" w:rsidRPr="0091799C">
        <w:rPr>
          <w:rFonts w:ascii="宋体" w:hAnsi="宋体" w:hint="eastAsia"/>
          <w:sz w:val="28"/>
          <w:szCs w:val="28"/>
        </w:rPr>
        <w:t>使用部分闲置募集资金暂时补充流动资金的公告</w:t>
      </w:r>
      <w:r w:rsidR="0095080C" w:rsidRPr="00375F74">
        <w:rPr>
          <w:rFonts w:ascii="宋体" w:hAnsi="宋体" w:hint="eastAsia"/>
          <w:sz w:val="28"/>
          <w:szCs w:val="28"/>
        </w:rPr>
        <w:t>》（公告编号：202</w:t>
      </w:r>
      <w:r w:rsidR="00410056">
        <w:rPr>
          <w:rFonts w:ascii="宋体" w:hAnsi="宋体"/>
          <w:sz w:val="28"/>
          <w:szCs w:val="28"/>
        </w:rPr>
        <w:t>4</w:t>
      </w:r>
      <w:r w:rsidR="0095080C" w:rsidRPr="00375F74">
        <w:rPr>
          <w:rFonts w:ascii="宋体" w:hAnsi="宋体" w:hint="eastAsia"/>
          <w:sz w:val="28"/>
          <w:szCs w:val="28"/>
        </w:rPr>
        <w:t>-</w:t>
      </w:r>
      <w:r w:rsidR="0095080C">
        <w:rPr>
          <w:rFonts w:ascii="宋体" w:hAnsi="宋体"/>
          <w:sz w:val="28"/>
          <w:szCs w:val="28"/>
        </w:rPr>
        <w:t>0</w:t>
      </w:r>
      <w:r w:rsidR="00410056">
        <w:rPr>
          <w:rFonts w:ascii="宋体" w:hAnsi="宋体"/>
          <w:sz w:val="28"/>
          <w:szCs w:val="28"/>
        </w:rPr>
        <w:t>24</w:t>
      </w:r>
      <w:r w:rsidR="0095080C" w:rsidRPr="00375F74">
        <w:rPr>
          <w:rFonts w:ascii="宋体" w:hAnsi="宋体" w:hint="eastAsia"/>
          <w:sz w:val="28"/>
          <w:szCs w:val="28"/>
        </w:rPr>
        <w:t>）。</w:t>
      </w:r>
    </w:p>
    <w:p w14:paraId="69A6EBC6" w14:textId="51A55BEF" w:rsidR="00537E5F" w:rsidRPr="00895939" w:rsidRDefault="001A5C2B" w:rsidP="00AC4C19">
      <w:pPr>
        <w:spacing w:line="600" w:lineRule="exact"/>
        <w:ind w:firstLineChars="200" w:firstLine="560"/>
        <w:rPr>
          <w:kern w:val="0"/>
          <w:sz w:val="28"/>
          <w:szCs w:val="28"/>
        </w:rPr>
      </w:pPr>
      <w:r w:rsidRPr="00895939">
        <w:rPr>
          <w:kern w:val="0"/>
          <w:sz w:val="28"/>
          <w:szCs w:val="28"/>
        </w:rPr>
        <w:t>20</w:t>
      </w:r>
      <w:r w:rsidR="0095080C">
        <w:rPr>
          <w:kern w:val="0"/>
          <w:sz w:val="28"/>
          <w:szCs w:val="28"/>
        </w:rPr>
        <w:t>2</w:t>
      </w:r>
      <w:r w:rsidR="00410056">
        <w:rPr>
          <w:kern w:val="0"/>
          <w:sz w:val="28"/>
          <w:szCs w:val="28"/>
        </w:rPr>
        <w:t>5</w:t>
      </w:r>
      <w:r w:rsidRPr="00895939">
        <w:rPr>
          <w:kern w:val="0"/>
          <w:sz w:val="28"/>
          <w:szCs w:val="28"/>
        </w:rPr>
        <w:t>年</w:t>
      </w:r>
      <w:r w:rsidR="00572033">
        <w:rPr>
          <w:kern w:val="0"/>
          <w:sz w:val="28"/>
          <w:szCs w:val="28"/>
        </w:rPr>
        <w:t>3</w:t>
      </w:r>
      <w:r w:rsidRPr="00895939">
        <w:rPr>
          <w:kern w:val="0"/>
          <w:sz w:val="28"/>
          <w:szCs w:val="28"/>
        </w:rPr>
        <w:t>月</w:t>
      </w:r>
      <w:r w:rsidR="00410056">
        <w:rPr>
          <w:kern w:val="0"/>
          <w:sz w:val="28"/>
          <w:szCs w:val="28"/>
        </w:rPr>
        <w:t>6</w:t>
      </w:r>
      <w:r w:rsidRPr="00895939">
        <w:rPr>
          <w:kern w:val="0"/>
          <w:sz w:val="28"/>
          <w:szCs w:val="28"/>
        </w:rPr>
        <w:t>日，公司已将上述</w:t>
      </w:r>
      <w:r w:rsidR="00572033">
        <w:rPr>
          <w:kern w:val="0"/>
          <w:sz w:val="28"/>
          <w:szCs w:val="28"/>
        </w:rPr>
        <w:t>6</w:t>
      </w:r>
      <w:r w:rsidRPr="00895939">
        <w:rPr>
          <w:kern w:val="0"/>
          <w:sz w:val="28"/>
          <w:szCs w:val="28"/>
        </w:rPr>
        <w:t>,000</w:t>
      </w:r>
      <w:r w:rsidRPr="00895939">
        <w:rPr>
          <w:kern w:val="0"/>
          <w:sz w:val="28"/>
          <w:szCs w:val="28"/>
        </w:rPr>
        <w:t>万元用于暂时补充流动资金的募集资金提前</w:t>
      </w:r>
      <w:r w:rsidR="00895939">
        <w:rPr>
          <w:rFonts w:hint="eastAsia"/>
          <w:kern w:val="0"/>
          <w:sz w:val="28"/>
          <w:szCs w:val="28"/>
        </w:rPr>
        <w:t>悉数</w:t>
      </w:r>
      <w:r w:rsidRPr="00895939">
        <w:rPr>
          <w:kern w:val="0"/>
          <w:sz w:val="28"/>
          <w:szCs w:val="28"/>
        </w:rPr>
        <w:t>归还至募集资金专户</w:t>
      </w:r>
      <w:r w:rsidR="00E059E6">
        <w:rPr>
          <w:kern w:val="0"/>
          <w:sz w:val="28"/>
          <w:szCs w:val="28"/>
        </w:rPr>
        <w:t>，</w:t>
      </w:r>
      <w:r w:rsidR="0095080C">
        <w:rPr>
          <w:rFonts w:hint="eastAsia"/>
          <w:kern w:val="0"/>
          <w:sz w:val="28"/>
          <w:szCs w:val="28"/>
        </w:rPr>
        <w:t>详见公司</w:t>
      </w:r>
      <w:r w:rsidR="001160BA">
        <w:rPr>
          <w:rFonts w:hint="eastAsia"/>
          <w:kern w:val="0"/>
          <w:sz w:val="28"/>
          <w:szCs w:val="28"/>
        </w:rPr>
        <w:t>于</w:t>
      </w:r>
      <w:r w:rsidR="0095080C">
        <w:rPr>
          <w:rFonts w:hint="eastAsia"/>
          <w:kern w:val="0"/>
          <w:sz w:val="28"/>
          <w:szCs w:val="28"/>
        </w:rPr>
        <w:t>2</w:t>
      </w:r>
      <w:r w:rsidR="0095080C">
        <w:rPr>
          <w:kern w:val="0"/>
          <w:sz w:val="28"/>
          <w:szCs w:val="28"/>
        </w:rPr>
        <w:t>02</w:t>
      </w:r>
      <w:r w:rsidR="00410056">
        <w:rPr>
          <w:kern w:val="0"/>
          <w:sz w:val="28"/>
          <w:szCs w:val="28"/>
        </w:rPr>
        <w:t>5</w:t>
      </w:r>
      <w:r w:rsidR="0095080C">
        <w:rPr>
          <w:rFonts w:hint="eastAsia"/>
          <w:kern w:val="0"/>
          <w:sz w:val="28"/>
          <w:szCs w:val="28"/>
        </w:rPr>
        <w:t>年</w:t>
      </w:r>
      <w:r w:rsidR="00572033">
        <w:rPr>
          <w:kern w:val="0"/>
          <w:sz w:val="28"/>
          <w:szCs w:val="28"/>
        </w:rPr>
        <w:t>3</w:t>
      </w:r>
      <w:r w:rsidR="0095080C">
        <w:rPr>
          <w:rFonts w:hint="eastAsia"/>
          <w:kern w:val="0"/>
          <w:sz w:val="28"/>
          <w:szCs w:val="28"/>
        </w:rPr>
        <w:lastRenderedPageBreak/>
        <w:t>月</w:t>
      </w:r>
      <w:r w:rsidR="00410056">
        <w:rPr>
          <w:kern w:val="0"/>
          <w:sz w:val="28"/>
          <w:szCs w:val="28"/>
        </w:rPr>
        <w:t>7</w:t>
      </w:r>
      <w:r w:rsidR="0095080C">
        <w:rPr>
          <w:rFonts w:hint="eastAsia"/>
          <w:kern w:val="0"/>
          <w:sz w:val="28"/>
          <w:szCs w:val="28"/>
        </w:rPr>
        <w:t>日</w:t>
      </w:r>
      <w:r w:rsidR="001160BA">
        <w:rPr>
          <w:rFonts w:hint="eastAsia"/>
          <w:kern w:val="0"/>
          <w:sz w:val="28"/>
          <w:szCs w:val="28"/>
        </w:rPr>
        <w:t>在</w:t>
      </w:r>
      <w:r w:rsidR="0095080C" w:rsidRPr="00AC4C19">
        <w:rPr>
          <w:rFonts w:hint="eastAsia"/>
          <w:kern w:val="0"/>
          <w:sz w:val="28"/>
          <w:szCs w:val="28"/>
        </w:rPr>
        <w:t>上海证券交易所网站（</w:t>
      </w:r>
      <w:r w:rsidR="0095080C" w:rsidRPr="00AC4C19">
        <w:rPr>
          <w:kern w:val="0"/>
          <w:sz w:val="28"/>
          <w:szCs w:val="28"/>
        </w:rPr>
        <w:t>www.sse.com.cn</w:t>
      </w:r>
      <w:r w:rsidR="0095080C" w:rsidRPr="00AC4C19">
        <w:rPr>
          <w:rFonts w:hint="eastAsia"/>
          <w:kern w:val="0"/>
          <w:sz w:val="28"/>
          <w:szCs w:val="28"/>
        </w:rPr>
        <w:t>）</w:t>
      </w:r>
      <w:r w:rsidR="001160BA" w:rsidRPr="00AC4C19">
        <w:rPr>
          <w:rFonts w:hint="eastAsia"/>
          <w:kern w:val="0"/>
          <w:sz w:val="28"/>
          <w:szCs w:val="28"/>
        </w:rPr>
        <w:t>披露</w:t>
      </w:r>
      <w:r w:rsidR="0095080C" w:rsidRPr="00AC4C19">
        <w:rPr>
          <w:rFonts w:hint="eastAsia"/>
          <w:kern w:val="0"/>
          <w:sz w:val="28"/>
          <w:szCs w:val="28"/>
        </w:rPr>
        <w:t>的《有方科技：关于提前归还临时用于补充流动资金的募集资金的公告》（公告编号：</w:t>
      </w:r>
      <w:r w:rsidR="0095080C" w:rsidRPr="00AC4C19">
        <w:rPr>
          <w:rFonts w:hint="eastAsia"/>
          <w:kern w:val="0"/>
          <w:sz w:val="28"/>
          <w:szCs w:val="28"/>
        </w:rPr>
        <w:t>202</w:t>
      </w:r>
      <w:r w:rsidR="00410056">
        <w:rPr>
          <w:kern w:val="0"/>
          <w:sz w:val="28"/>
          <w:szCs w:val="28"/>
        </w:rPr>
        <w:t>5</w:t>
      </w:r>
      <w:r w:rsidR="0095080C" w:rsidRPr="00AC4C19">
        <w:rPr>
          <w:rFonts w:hint="eastAsia"/>
          <w:kern w:val="0"/>
          <w:sz w:val="28"/>
          <w:szCs w:val="28"/>
        </w:rPr>
        <w:t>-0</w:t>
      </w:r>
      <w:r w:rsidR="00410056">
        <w:rPr>
          <w:kern w:val="0"/>
          <w:sz w:val="28"/>
          <w:szCs w:val="28"/>
        </w:rPr>
        <w:t>14</w:t>
      </w:r>
      <w:r w:rsidR="0095080C" w:rsidRPr="00AC4C19">
        <w:rPr>
          <w:rFonts w:hint="eastAsia"/>
          <w:kern w:val="0"/>
          <w:sz w:val="28"/>
          <w:szCs w:val="28"/>
        </w:rPr>
        <w:t>）。</w:t>
      </w:r>
    </w:p>
    <w:p w14:paraId="1C3D8216" w14:textId="77777777" w:rsidR="00A40990" w:rsidRPr="00A40990" w:rsidRDefault="00895939" w:rsidP="00A51B23">
      <w:pPr>
        <w:autoSpaceDE w:val="0"/>
        <w:autoSpaceDN w:val="0"/>
        <w:adjustRightInd w:val="0"/>
        <w:spacing w:line="360" w:lineRule="auto"/>
        <w:ind w:firstLineChars="200" w:firstLine="562"/>
        <w:jc w:val="left"/>
        <w:rPr>
          <w:rFonts w:ascii="宋体" w:hAnsi="Calibri" w:cs="宋体"/>
          <w:b/>
          <w:kern w:val="0"/>
          <w:sz w:val="28"/>
          <w:szCs w:val="28"/>
        </w:rPr>
      </w:pPr>
      <w:r>
        <w:rPr>
          <w:rFonts w:ascii="宋体" w:hAnsi="Calibri" w:cs="宋体" w:hint="eastAsia"/>
          <w:b/>
          <w:kern w:val="0"/>
          <w:sz w:val="28"/>
          <w:szCs w:val="28"/>
        </w:rPr>
        <w:t>三</w:t>
      </w:r>
      <w:r w:rsidR="003A6799" w:rsidRPr="00A24A63">
        <w:rPr>
          <w:rFonts w:ascii="宋体" w:hAnsi="Calibri" w:cs="宋体" w:hint="eastAsia"/>
          <w:b/>
          <w:kern w:val="0"/>
          <w:sz w:val="28"/>
          <w:szCs w:val="28"/>
        </w:rPr>
        <w:t>、</w:t>
      </w:r>
      <w:r w:rsidR="00A40990" w:rsidRPr="00A40990">
        <w:rPr>
          <w:rFonts w:ascii="宋体" w:hAnsi="Calibri" w:cs="宋体" w:hint="eastAsia"/>
          <w:b/>
          <w:kern w:val="0"/>
          <w:sz w:val="28"/>
          <w:szCs w:val="28"/>
        </w:rPr>
        <w:t>募集资金使用情况</w:t>
      </w:r>
    </w:p>
    <w:p w14:paraId="1008153B" w14:textId="4ACC802B" w:rsidR="00E41573" w:rsidRPr="00945B87" w:rsidRDefault="00B3237D" w:rsidP="009325E8">
      <w:pPr>
        <w:autoSpaceDE w:val="0"/>
        <w:autoSpaceDN w:val="0"/>
        <w:adjustRightInd w:val="0"/>
        <w:spacing w:line="360" w:lineRule="auto"/>
        <w:ind w:firstLineChars="200" w:firstLine="560"/>
        <w:rPr>
          <w:rFonts w:ascii="宋体" w:hAnsi="Calibri" w:cs="宋体"/>
          <w:kern w:val="0"/>
          <w:sz w:val="28"/>
          <w:szCs w:val="28"/>
        </w:rPr>
      </w:pPr>
      <w:r w:rsidRPr="00B3237D">
        <w:rPr>
          <w:rFonts w:ascii="宋体" w:hAnsi="Calibri" w:cs="宋体" w:hint="eastAsia"/>
          <w:kern w:val="0"/>
          <w:sz w:val="28"/>
          <w:szCs w:val="28"/>
        </w:rPr>
        <w:t>根据《</w:t>
      </w:r>
      <w:r w:rsidR="005D1BB5">
        <w:rPr>
          <w:rFonts w:ascii="宋体" w:hAnsi="Calibri" w:cs="宋体" w:hint="eastAsia"/>
          <w:kern w:val="0"/>
          <w:sz w:val="28"/>
          <w:szCs w:val="28"/>
        </w:rPr>
        <w:t>有方科技：</w:t>
      </w:r>
      <w:r w:rsidRPr="00B3237D">
        <w:rPr>
          <w:rFonts w:ascii="宋体" w:hAnsi="Calibri" w:cs="宋体" w:hint="eastAsia"/>
          <w:kern w:val="0"/>
          <w:sz w:val="28"/>
          <w:szCs w:val="28"/>
        </w:rPr>
        <w:t>首次公开发行股票并在科创板上市招股说明书》以及公司于202</w:t>
      </w:r>
      <w:r w:rsidR="005D1BB5">
        <w:rPr>
          <w:rFonts w:ascii="宋体" w:hAnsi="Calibri" w:cs="宋体"/>
          <w:kern w:val="0"/>
          <w:sz w:val="28"/>
          <w:szCs w:val="28"/>
        </w:rPr>
        <w:t>2</w:t>
      </w:r>
      <w:r w:rsidRPr="00B3237D">
        <w:rPr>
          <w:rFonts w:ascii="宋体" w:hAnsi="Calibri" w:cs="宋体" w:hint="eastAsia"/>
          <w:kern w:val="0"/>
          <w:sz w:val="28"/>
          <w:szCs w:val="28"/>
        </w:rPr>
        <w:t>年</w:t>
      </w:r>
      <w:r w:rsidR="005D1BB5">
        <w:rPr>
          <w:rFonts w:ascii="宋体" w:hAnsi="Calibri" w:cs="宋体"/>
          <w:kern w:val="0"/>
          <w:sz w:val="28"/>
          <w:szCs w:val="28"/>
        </w:rPr>
        <w:t>4</w:t>
      </w:r>
      <w:r w:rsidRPr="00B3237D">
        <w:rPr>
          <w:rFonts w:ascii="宋体" w:hAnsi="Calibri" w:cs="宋体" w:hint="eastAsia"/>
          <w:kern w:val="0"/>
          <w:sz w:val="28"/>
          <w:szCs w:val="28"/>
        </w:rPr>
        <w:t>月2</w:t>
      </w:r>
      <w:r w:rsidR="005D1BB5">
        <w:rPr>
          <w:rFonts w:ascii="宋体" w:hAnsi="Calibri" w:cs="宋体"/>
          <w:kern w:val="0"/>
          <w:sz w:val="28"/>
          <w:szCs w:val="28"/>
        </w:rPr>
        <w:t>9</w:t>
      </w:r>
      <w:r w:rsidRPr="00B3237D">
        <w:rPr>
          <w:rFonts w:ascii="宋体" w:hAnsi="Calibri" w:cs="宋体" w:hint="eastAsia"/>
          <w:kern w:val="0"/>
          <w:sz w:val="28"/>
          <w:szCs w:val="28"/>
        </w:rPr>
        <w:t>日、202</w:t>
      </w:r>
      <w:r w:rsidR="005D1BB5">
        <w:rPr>
          <w:rFonts w:ascii="宋体" w:hAnsi="Calibri" w:cs="宋体"/>
          <w:kern w:val="0"/>
          <w:sz w:val="28"/>
          <w:szCs w:val="28"/>
        </w:rPr>
        <w:t>3</w:t>
      </w:r>
      <w:r w:rsidRPr="00B3237D">
        <w:rPr>
          <w:rFonts w:ascii="宋体" w:hAnsi="Calibri" w:cs="宋体" w:hint="eastAsia"/>
          <w:kern w:val="0"/>
          <w:sz w:val="28"/>
          <w:szCs w:val="28"/>
        </w:rPr>
        <w:t>年</w:t>
      </w:r>
      <w:r w:rsidR="005D1BB5">
        <w:rPr>
          <w:rFonts w:ascii="宋体" w:hAnsi="Calibri" w:cs="宋体"/>
          <w:kern w:val="0"/>
          <w:sz w:val="28"/>
          <w:szCs w:val="28"/>
        </w:rPr>
        <w:t>3</w:t>
      </w:r>
      <w:r w:rsidRPr="00B3237D">
        <w:rPr>
          <w:rFonts w:ascii="宋体" w:hAnsi="Calibri" w:cs="宋体" w:hint="eastAsia"/>
          <w:kern w:val="0"/>
          <w:sz w:val="28"/>
          <w:szCs w:val="28"/>
        </w:rPr>
        <w:t>月</w:t>
      </w:r>
      <w:r w:rsidR="005D1BB5">
        <w:rPr>
          <w:rFonts w:ascii="宋体" w:hAnsi="Calibri" w:cs="宋体"/>
          <w:kern w:val="0"/>
          <w:sz w:val="28"/>
          <w:szCs w:val="28"/>
        </w:rPr>
        <w:t>4</w:t>
      </w:r>
      <w:r w:rsidRPr="00B3237D">
        <w:rPr>
          <w:rFonts w:ascii="宋体" w:hAnsi="Calibri" w:cs="宋体" w:hint="eastAsia"/>
          <w:kern w:val="0"/>
          <w:sz w:val="28"/>
          <w:szCs w:val="28"/>
        </w:rPr>
        <w:t>日在上海证券交易所网站(www.sse.com.cn)披露的《</w:t>
      </w:r>
      <w:r w:rsidR="005D1BB5">
        <w:rPr>
          <w:rFonts w:ascii="宋体" w:hAnsi="Calibri" w:cs="宋体" w:hint="eastAsia"/>
          <w:kern w:val="0"/>
          <w:sz w:val="28"/>
          <w:szCs w:val="28"/>
        </w:rPr>
        <w:t>有方科技：</w:t>
      </w:r>
      <w:r w:rsidRPr="00B3237D">
        <w:rPr>
          <w:rFonts w:ascii="宋体" w:hAnsi="Calibri" w:cs="宋体" w:hint="eastAsia"/>
          <w:kern w:val="0"/>
          <w:sz w:val="28"/>
          <w:szCs w:val="28"/>
        </w:rPr>
        <w:t>关于调整</w:t>
      </w:r>
      <w:r w:rsidR="005D1BB5">
        <w:rPr>
          <w:rFonts w:ascii="宋体" w:hAnsi="Calibri" w:cs="宋体" w:hint="eastAsia"/>
          <w:kern w:val="0"/>
          <w:sz w:val="28"/>
          <w:szCs w:val="28"/>
        </w:rPr>
        <w:t>部分</w:t>
      </w:r>
      <w:r w:rsidRPr="00B3237D">
        <w:rPr>
          <w:rFonts w:ascii="宋体" w:hAnsi="Calibri" w:cs="宋体" w:hint="eastAsia"/>
          <w:kern w:val="0"/>
          <w:sz w:val="28"/>
          <w:szCs w:val="28"/>
        </w:rPr>
        <w:t>募集资金</w:t>
      </w:r>
      <w:r w:rsidR="005D1BB5">
        <w:rPr>
          <w:rFonts w:ascii="宋体" w:hAnsi="Calibri" w:cs="宋体" w:hint="eastAsia"/>
          <w:kern w:val="0"/>
          <w:sz w:val="28"/>
          <w:szCs w:val="28"/>
        </w:rPr>
        <w:t>使用计划</w:t>
      </w:r>
      <w:r w:rsidRPr="00B3237D">
        <w:rPr>
          <w:rFonts w:ascii="宋体" w:hAnsi="Calibri" w:cs="宋体" w:hint="eastAsia"/>
          <w:kern w:val="0"/>
          <w:sz w:val="28"/>
          <w:szCs w:val="28"/>
        </w:rPr>
        <w:t>的公告》</w:t>
      </w:r>
      <w:r w:rsidR="005D1BB5">
        <w:rPr>
          <w:rFonts w:ascii="宋体" w:hAnsi="Calibri" w:cs="宋体" w:hint="eastAsia"/>
          <w:kern w:val="0"/>
          <w:sz w:val="28"/>
          <w:szCs w:val="28"/>
        </w:rPr>
        <w:t>，2</w:t>
      </w:r>
      <w:r w:rsidR="005D1BB5">
        <w:rPr>
          <w:rFonts w:ascii="宋体" w:hAnsi="Calibri" w:cs="宋体"/>
          <w:kern w:val="0"/>
          <w:sz w:val="28"/>
          <w:szCs w:val="28"/>
        </w:rPr>
        <w:t>025年</w:t>
      </w:r>
      <w:r w:rsidR="005D1BB5">
        <w:rPr>
          <w:rFonts w:ascii="宋体" w:hAnsi="Calibri" w:cs="宋体" w:hint="eastAsia"/>
          <w:kern w:val="0"/>
          <w:sz w:val="28"/>
          <w:szCs w:val="28"/>
        </w:rPr>
        <w:t>1月2</w:t>
      </w:r>
      <w:r w:rsidR="005D1BB5">
        <w:rPr>
          <w:rFonts w:ascii="宋体" w:hAnsi="Calibri" w:cs="宋体"/>
          <w:kern w:val="0"/>
          <w:sz w:val="28"/>
          <w:szCs w:val="28"/>
        </w:rPr>
        <w:t>2日</w:t>
      </w:r>
      <w:r w:rsidR="005D1BB5" w:rsidRPr="00B3237D">
        <w:rPr>
          <w:rFonts w:ascii="宋体" w:hAnsi="Calibri" w:cs="宋体" w:hint="eastAsia"/>
          <w:kern w:val="0"/>
          <w:sz w:val="28"/>
          <w:szCs w:val="28"/>
        </w:rPr>
        <w:t>在上海证券交易所网站(www.sse.com.cn)披露的《</w:t>
      </w:r>
      <w:r w:rsidR="005D1BB5">
        <w:rPr>
          <w:rFonts w:ascii="宋体" w:hAnsi="Calibri" w:cs="宋体" w:hint="eastAsia"/>
          <w:kern w:val="0"/>
          <w:sz w:val="28"/>
          <w:szCs w:val="28"/>
        </w:rPr>
        <w:t>有方科技：</w:t>
      </w:r>
      <w:r w:rsidR="005D1BB5" w:rsidRPr="00B3237D">
        <w:rPr>
          <w:rFonts w:ascii="宋体" w:hAnsi="Calibri" w:cs="宋体" w:hint="eastAsia"/>
          <w:kern w:val="0"/>
          <w:sz w:val="28"/>
          <w:szCs w:val="28"/>
        </w:rPr>
        <w:t>关于</w:t>
      </w:r>
      <w:r w:rsidR="005D1BB5" w:rsidRPr="005D1BB5">
        <w:rPr>
          <w:rFonts w:ascii="宋体" w:hAnsi="Calibri" w:cs="宋体" w:hint="eastAsia"/>
          <w:kern w:val="0"/>
          <w:sz w:val="28"/>
          <w:szCs w:val="28"/>
        </w:rPr>
        <w:t>部分募投项目内部投资结构调整、延期等事项</w:t>
      </w:r>
      <w:r w:rsidR="005D1BB5" w:rsidRPr="00B3237D">
        <w:rPr>
          <w:rFonts w:ascii="宋体" w:hAnsi="Calibri" w:cs="宋体" w:hint="eastAsia"/>
          <w:kern w:val="0"/>
          <w:sz w:val="28"/>
          <w:szCs w:val="28"/>
        </w:rPr>
        <w:t>的公告》</w:t>
      </w:r>
      <w:r w:rsidRPr="00B3237D">
        <w:rPr>
          <w:rFonts w:ascii="宋体" w:hAnsi="Calibri" w:cs="宋体" w:hint="eastAsia"/>
          <w:kern w:val="0"/>
          <w:sz w:val="28"/>
          <w:szCs w:val="28"/>
        </w:rPr>
        <w:t>，公司调整后的首次公开发行股票募投项目及募集资金使用计划如下</w:t>
      </w:r>
      <w:r w:rsidR="00E41573" w:rsidRPr="00945B87">
        <w:rPr>
          <w:rFonts w:ascii="宋体" w:hAnsi="Calibri" w:cs="宋体" w:hint="eastAsia"/>
          <w:kern w:val="0"/>
          <w:sz w:val="28"/>
          <w:szCs w:val="28"/>
        </w:rPr>
        <w:t>：</w:t>
      </w:r>
    </w:p>
    <w:tbl>
      <w:tblPr>
        <w:tblW w:w="483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551"/>
        <w:gridCol w:w="2955"/>
        <w:gridCol w:w="1418"/>
        <w:gridCol w:w="1561"/>
        <w:gridCol w:w="1747"/>
      </w:tblGrid>
      <w:tr w:rsidR="00E41573" w:rsidRPr="00945B87" w14:paraId="073597D3" w14:textId="77777777" w:rsidTr="00D27248">
        <w:trPr>
          <w:cantSplit/>
          <w:trHeight w:val="397"/>
          <w:jc w:val="center"/>
        </w:trPr>
        <w:tc>
          <w:tcPr>
            <w:tcW w:w="335" w:type="pct"/>
            <w:vMerge w:val="restart"/>
            <w:tcBorders>
              <w:top w:val="single" w:sz="4" w:space="0" w:color="auto"/>
              <w:left w:val="single" w:sz="4" w:space="0" w:color="auto"/>
              <w:tl2br w:val="nil"/>
              <w:tr2bl w:val="nil"/>
            </w:tcBorders>
            <w:shd w:val="clear" w:color="auto" w:fill="auto"/>
            <w:noWrap/>
            <w:vAlign w:val="center"/>
          </w:tcPr>
          <w:p w14:paraId="75EAA0B2" w14:textId="77777777" w:rsidR="00E41573" w:rsidRPr="00945B87" w:rsidRDefault="00E41573" w:rsidP="00B034F4">
            <w:pPr>
              <w:widowControl/>
              <w:adjustRightInd w:val="0"/>
              <w:snapToGrid w:val="0"/>
              <w:jc w:val="center"/>
              <w:rPr>
                <w:b/>
                <w:spacing w:val="-6"/>
                <w:kern w:val="0"/>
                <w:sz w:val="22"/>
                <w:szCs w:val="22"/>
              </w:rPr>
            </w:pPr>
            <w:r w:rsidRPr="00945B87">
              <w:rPr>
                <w:b/>
                <w:spacing w:val="-6"/>
                <w:kern w:val="0"/>
                <w:sz w:val="22"/>
                <w:szCs w:val="22"/>
                <w:lang w:bidi="ar"/>
              </w:rPr>
              <w:t>序号</w:t>
            </w:r>
          </w:p>
        </w:tc>
        <w:tc>
          <w:tcPr>
            <w:tcW w:w="1795" w:type="pct"/>
            <w:vMerge w:val="restart"/>
            <w:tcBorders>
              <w:top w:val="single" w:sz="4" w:space="0" w:color="auto"/>
              <w:tl2br w:val="nil"/>
              <w:tr2bl w:val="nil"/>
            </w:tcBorders>
            <w:shd w:val="clear" w:color="auto" w:fill="auto"/>
            <w:vAlign w:val="center"/>
          </w:tcPr>
          <w:p w14:paraId="4523D170" w14:textId="77777777" w:rsidR="00E41573" w:rsidRPr="00945B87" w:rsidRDefault="00E41573" w:rsidP="00B034F4">
            <w:pPr>
              <w:widowControl/>
              <w:adjustRightInd w:val="0"/>
              <w:snapToGrid w:val="0"/>
              <w:jc w:val="center"/>
              <w:rPr>
                <w:b/>
                <w:spacing w:val="-6"/>
                <w:kern w:val="0"/>
                <w:sz w:val="22"/>
                <w:szCs w:val="22"/>
              </w:rPr>
            </w:pPr>
            <w:r w:rsidRPr="00945B87">
              <w:rPr>
                <w:b/>
                <w:spacing w:val="-6"/>
                <w:kern w:val="0"/>
                <w:sz w:val="22"/>
                <w:szCs w:val="22"/>
                <w:lang w:bidi="ar"/>
              </w:rPr>
              <w:t>投资项目</w:t>
            </w:r>
          </w:p>
        </w:tc>
        <w:tc>
          <w:tcPr>
            <w:tcW w:w="861" w:type="pct"/>
            <w:vMerge w:val="restart"/>
            <w:tcBorders>
              <w:top w:val="single" w:sz="4" w:space="0" w:color="auto"/>
              <w:tl2br w:val="nil"/>
              <w:tr2bl w:val="nil"/>
            </w:tcBorders>
            <w:shd w:val="clear" w:color="auto" w:fill="auto"/>
            <w:vAlign w:val="center"/>
          </w:tcPr>
          <w:p w14:paraId="0A268A6F" w14:textId="4F12C0CC" w:rsidR="00E41573" w:rsidRPr="00945B87" w:rsidRDefault="001A7730" w:rsidP="00B034F4">
            <w:pPr>
              <w:widowControl/>
              <w:adjustRightInd w:val="0"/>
              <w:snapToGrid w:val="0"/>
              <w:jc w:val="center"/>
              <w:rPr>
                <w:b/>
                <w:spacing w:val="-6"/>
                <w:kern w:val="0"/>
                <w:sz w:val="22"/>
                <w:szCs w:val="22"/>
              </w:rPr>
            </w:pPr>
            <w:r>
              <w:rPr>
                <w:b/>
                <w:spacing w:val="-6"/>
                <w:kern w:val="0"/>
                <w:sz w:val="22"/>
                <w:szCs w:val="22"/>
                <w:lang w:bidi="ar"/>
              </w:rPr>
              <w:t>总</w:t>
            </w:r>
            <w:r w:rsidR="00E41573" w:rsidRPr="00945B87">
              <w:rPr>
                <w:b/>
                <w:spacing w:val="-6"/>
                <w:kern w:val="0"/>
                <w:sz w:val="22"/>
                <w:szCs w:val="22"/>
                <w:lang w:bidi="ar"/>
              </w:rPr>
              <w:t>投资</w:t>
            </w:r>
            <w:r>
              <w:rPr>
                <w:rFonts w:hint="eastAsia"/>
                <w:b/>
                <w:spacing w:val="-6"/>
                <w:kern w:val="0"/>
                <w:sz w:val="22"/>
                <w:szCs w:val="22"/>
                <w:lang w:bidi="ar"/>
              </w:rPr>
              <w:t>总额</w:t>
            </w:r>
            <w:r w:rsidR="00E41573" w:rsidRPr="00945B87">
              <w:rPr>
                <w:rFonts w:hint="eastAsia"/>
                <w:b/>
                <w:spacing w:val="-6"/>
                <w:kern w:val="0"/>
                <w:sz w:val="22"/>
                <w:szCs w:val="22"/>
                <w:lang w:bidi="ar"/>
              </w:rPr>
              <w:t>（万元）</w:t>
            </w:r>
          </w:p>
        </w:tc>
        <w:tc>
          <w:tcPr>
            <w:tcW w:w="948" w:type="pct"/>
            <w:vMerge w:val="restart"/>
            <w:tcBorders>
              <w:top w:val="single" w:sz="4" w:space="0" w:color="auto"/>
              <w:tl2br w:val="nil"/>
              <w:tr2bl w:val="nil"/>
            </w:tcBorders>
            <w:shd w:val="clear" w:color="auto" w:fill="auto"/>
            <w:vAlign w:val="center"/>
          </w:tcPr>
          <w:p w14:paraId="3416C84E" w14:textId="5D7FEE66" w:rsidR="00E41573" w:rsidRPr="00945B87" w:rsidRDefault="0004757B" w:rsidP="00B034F4">
            <w:pPr>
              <w:widowControl/>
              <w:adjustRightInd w:val="0"/>
              <w:snapToGrid w:val="0"/>
              <w:jc w:val="center"/>
              <w:rPr>
                <w:b/>
                <w:spacing w:val="-6"/>
                <w:kern w:val="0"/>
                <w:sz w:val="22"/>
                <w:szCs w:val="22"/>
              </w:rPr>
            </w:pPr>
            <w:r w:rsidRPr="0004757B">
              <w:rPr>
                <w:rFonts w:hint="eastAsia"/>
                <w:b/>
                <w:spacing w:val="-6"/>
                <w:kern w:val="0"/>
                <w:sz w:val="22"/>
                <w:szCs w:val="22"/>
                <w:lang w:bidi="ar"/>
              </w:rPr>
              <w:t>拟使用募集资金投资金额</w:t>
            </w:r>
            <w:r w:rsidR="00E41573" w:rsidRPr="00945B87">
              <w:rPr>
                <w:rStyle w:val="a9"/>
                <w:rFonts w:hint="eastAsia"/>
                <w:b/>
                <w:bCs/>
                <w:sz w:val="22"/>
                <w:szCs w:val="22"/>
              </w:rPr>
              <w:t>（万元）</w:t>
            </w:r>
          </w:p>
        </w:tc>
        <w:tc>
          <w:tcPr>
            <w:tcW w:w="1062" w:type="pct"/>
            <w:vMerge w:val="restart"/>
            <w:tcBorders>
              <w:top w:val="single" w:sz="4" w:space="0" w:color="auto"/>
              <w:right w:val="single" w:sz="4" w:space="0" w:color="auto"/>
              <w:tl2br w:val="nil"/>
              <w:tr2bl w:val="nil"/>
            </w:tcBorders>
            <w:shd w:val="clear" w:color="auto" w:fill="auto"/>
            <w:vAlign w:val="center"/>
          </w:tcPr>
          <w:p w14:paraId="690F3372" w14:textId="77777777" w:rsidR="00E41573" w:rsidRPr="00945B87" w:rsidRDefault="00E41573" w:rsidP="00B034F4">
            <w:pPr>
              <w:widowControl/>
              <w:adjustRightInd w:val="0"/>
              <w:snapToGrid w:val="0"/>
              <w:jc w:val="center"/>
              <w:rPr>
                <w:b/>
                <w:spacing w:val="-6"/>
                <w:kern w:val="0"/>
                <w:sz w:val="22"/>
                <w:szCs w:val="22"/>
              </w:rPr>
            </w:pPr>
            <w:r w:rsidRPr="00945B87">
              <w:rPr>
                <w:rFonts w:hint="eastAsia"/>
                <w:b/>
                <w:spacing w:val="-6"/>
                <w:kern w:val="0"/>
                <w:sz w:val="22"/>
                <w:szCs w:val="22"/>
                <w:lang w:bidi="ar"/>
              </w:rPr>
              <w:t>项目达到预定可使用状态日期</w:t>
            </w:r>
          </w:p>
        </w:tc>
      </w:tr>
      <w:tr w:rsidR="00E41573" w:rsidRPr="00945B87" w14:paraId="7035A9CA" w14:textId="77777777" w:rsidTr="00D27248">
        <w:trPr>
          <w:cantSplit/>
          <w:trHeight w:val="312"/>
          <w:jc w:val="center"/>
        </w:trPr>
        <w:tc>
          <w:tcPr>
            <w:tcW w:w="335" w:type="pct"/>
            <w:vMerge/>
            <w:tcBorders>
              <w:left w:val="single" w:sz="4" w:space="0" w:color="auto"/>
              <w:tl2br w:val="nil"/>
              <w:tr2bl w:val="nil"/>
            </w:tcBorders>
            <w:shd w:val="clear" w:color="auto" w:fill="auto"/>
            <w:noWrap/>
            <w:vAlign w:val="center"/>
          </w:tcPr>
          <w:p w14:paraId="2E0E3359" w14:textId="77777777" w:rsidR="00E41573" w:rsidRPr="00945B87" w:rsidRDefault="00E41573" w:rsidP="00B034F4">
            <w:pPr>
              <w:snapToGrid w:val="0"/>
              <w:rPr>
                <w:sz w:val="22"/>
                <w:szCs w:val="22"/>
              </w:rPr>
            </w:pPr>
          </w:p>
        </w:tc>
        <w:tc>
          <w:tcPr>
            <w:tcW w:w="1795" w:type="pct"/>
            <w:vMerge/>
            <w:tcBorders>
              <w:tl2br w:val="nil"/>
              <w:tr2bl w:val="nil"/>
            </w:tcBorders>
            <w:shd w:val="clear" w:color="auto" w:fill="auto"/>
            <w:vAlign w:val="center"/>
          </w:tcPr>
          <w:p w14:paraId="71D4B1EC" w14:textId="77777777" w:rsidR="00E41573" w:rsidRPr="00945B87" w:rsidRDefault="00E41573" w:rsidP="00B034F4">
            <w:pPr>
              <w:snapToGrid w:val="0"/>
              <w:rPr>
                <w:sz w:val="22"/>
                <w:szCs w:val="22"/>
              </w:rPr>
            </w:pPr>
          </w:p>
        </w:tc>
        <w:tc>
          <w:tcPr>
            <w:tcW w:w="861" w:type="pct"/>
            <w:vMerge/>
            <w:tcBorders>
              <w:tl2br w:val="nil"/>
              <w:tr2bl w:val="nil"/>
            </w:tcBorders>
            <w:shd w:val="clear" w:color="auto" w:fill="auto"/>
            <w:vAlign w:val="center"/>
          </w:tcPr>
          <w:p w14:paraId="07BAADB6" w14:textId="77777777" w:rsidR="00E41573" w:rsidRPr="00945B87" w:rsidRDefault="00E41573" w:rsidP="00B034F4">
            <w:pPr>
              <w:snapToGrid w:val="0"/>
              <w:rPr>
                <w:sz w:val="22"/>
                <w:szCs w:val="22"/>
              </w:rPr>
            </w:pPr>
          </w:p>
        </w:tc>
        <w:tc>
          <w:tcPr>
            <w:tcW w:w="948" w:type="pct"/>
            <w:vMerge/>
            <w:tcBorders>
              <w:tl2br w:val="nil"/>
              <w:tr2bl w:val="nil"/>
            </w:tcBorders>
            <w:shd w:val="clear" w:color="auto" w:fill="auto"/>
            <w:vAlign w:val="center"/>
          </w:tcPr>
          <w:p w14:paraId="1FA6E614" w14:textId="77777777" w:rsidR="00E41573" w:rsidRPr="00945B87" w:rsidRDefault="00E41573" w:rsidP="00B034F4">
            <w:pPr>
              <w:snapToGrid w:val="0"/>
              <w:rPr>
                <w:sz w:val="22"/>
                <w:szCs w:val="22"/>
              </w:rPr>
            </w:pPr>
          </w:p>
        </w:tc>
        <w:tc>
          <w:tcPr>
            <w:tcW w:w="1062" w:type="pct"/>
            <w:vMerge/>
            <w:tcBorders>
              <w:right w:val="single" w:sz="4" w:space="0" w:color="auto"/>
              <w:tl2br w:val="nil"/>
              <w:tr2bl w:val="nil"/>
            </w:tcBorders>
            <w:shd w:val="clear" w:color="auto" w:fill="auto"/>
            <w:vAlign w:val="center"/>
          </w:tcPr>
          <w:p w14:paraId="60D54144" w14:textId="77777777" w:rsidR="00E41573" w:rsidRPr="00945B87" w:rsidRDefault="00E41573" w:rsidP="00B034F4">
            <w:pPr>
              <w:snapToGrid w:val="0"/>
              <w:rPr>
                <w:sz w:val="22"/>
                <w:szCs w:val="22"/>
              </w:rPr>
            </w:pPr>
          </w:p>
        </w:tc>
      </w:tr>
      <w:tr w:rsidR="00E41573" w:rsidRPr="00945B87" w14:paraId="74D9B952" w14:textId="77777777" w:rsidTr="00D27248">
        <w:trPr>
          <w:cantSplit/>
          <w:trHeight w:val="397"/>
          <w:jc w:val="center"/>
        </w:trPr>
        <w:tc>
          <w:tcPr>
            <w:tcW w:w="335" w:type="pct"/>
            <w:tcBorders>
              <w:left w:val="single" w:sz="4" w:space="0" w:color="auto"/>
              <w:tl2br w:val="nil"/>
              <w:tr2bl w:val="nil"/>
            </w:tcBorders>
            <w:shd w:val="clear" w:color="auto" w:fill="auto"/>
            <w:noWrap/>
            <w:vAlign w:val="center"/>
          </w:tcPr>
          <w:p w14:paraId="55BF8D4A" w14:textId="77777777" w:rsidR="00E41573" w:rsidRPr="00945B87" w:rsidRDefault="00E41573" w:rsidP="00B034F4">
            <w:pPr>
              <w:widowControl/>
              <w:adjustRightInd w:val="0"/>
              <w:snapToGrid w:val="0"/>
              <w:jc w:val="center"/>
              <w:rPr>
                <w:spacing w:val="-6"/>
                <w:kern w:val="0"/>
                <w:sz w:val="22"/>
                <w:szCs w:val="22"/>
              </w:rPr>
            </w:pPr>
            <w:r w:rsidRPr="00945B87">
              <w:rPr>
                <w:spacing w:val="-6"/>
                <w:kern w:val="0"/>
                <w:sz w:val="22"/>
                <w:szCs w:val="22"/>
                <w:lang w:bidi="ar"/>
              </w:rPr>
              <w:t>1</w:t>
            </w:r>
          </w:p>
        </w:tc>
        <w:tc>
          <w:tcPr>
            <w:tcW w:w="1795" w:type="pct"/>
            <w:tcBorders>
              <w:tl2br w:val="nil"/>
              <w:tr2bl w:val="nil"/>
            </w:tcBorders>
            <w:shd w:val="clear" w:color="auto" w:fill="auto"/>
            <w:noWrap/>
            <w:vAlign w:val="center"/>
          </w:tcPr>
          <w:p w14:paraId="309C20BB" w14:textId="77777777" w:rsidR="00E41573" w:rsidRPr="00945B87" w:rsidRDefault="00E41573" w:rsidP="00B034F4">
            <w:pPr>
              <w:widowControl/>
              <w:snapToGrid w:val="0"/>
              <w:jc w:val="left"/>
              <w:rPr>
                <w:sz w:val="22"/>
                <w:szCs w:val="22"/>
              </w:rPr>
            </w:pPr>
            <w:r w:rsidRPr="00945B87">
              <w:rPr>
                <w:sz w:val="22"/>
                <w:szCs w:val="22"/>
                <w:lang w:bidi="ar"/>
              </w:rPr>
              <w:t>研发总部项目</w:t>
            </w:r>
          </w:p>
        </w:tc>
        <w:tc>
          <w:tcPr>
            <w:tcW w:w="861" w:type="pct"/>
            <w:tcBorders>
              <w:tl2br w:val="nil"/>
              <w:tr2bl w:val="nil"/>
            </w:tcBorders>
            <w:shd w:val="clear" w:color="auto" w:fill="auto"/>
            <w:noWrap/>
            <w:vAlign w:val="center"/>
          </w:tcPr>
          <w:p w14:paraId="70A07F65" w14:textId="5A6B5379" w:rsidR="00E41573" w:rsidRPr="00945B87" w:rsidRDefault="0004757B" w:rsidP="001A7730">
            <w:pPr>
              <w:widowControl/>
              <w:snapToGrid w:val="0"/>
              <w:jc w:val="right"/>
              <w:rPr>
                <w:sz w:val="22"/>
                <w:szCs w:val="22"/>
              </w:rPr>
            </w:pPr>
            <w:r w:rsidRPr="00945B87">
              <w:rPr>
                <w:sz w:val="22"/>
                <w:szCs w:val="22"/>
              </w:rPr>
              <w:t>6,653.88</w:t>
            </w:r>
          </w:p>
        </w:tc>
        <w:tc>
          <w:tcPr>
            <w:tcW w:w="948" w:type="pct"/>
            <w:tcBorders>
              <w:tl2br w:val="nil"/>
              <w:tr2bl w:val="nil"/>
            </w:tcBorders>
            <w:shd w:val="clear" w:color="auto" w:fill="auto"/>
            <w:noWrap/>
            <w:vAlign w:val="center"/>
          </w:tcPr>
          <w:p w14:paraId="5844413F" w14:textId="2ED22F31" w:rsidR="00E41573" w:rsidRPr="00945B87" w:rsidRDefault="001A7730" w:rsidP="00945B87">
            <w:pPr>
              <w:widowControl/>
              <w:adjustRightInd w:val="0"/>
              <w:snapToGrid w:val="0"/>
              <w:jc w:val="right"/>
              <w:rPr>
                <w:spacing w:val="-6"/>
                <w:kern w:val="0"/>
                <w:sz w:val="22"/>
                <w:szCs w:val="22"/>
              </w:rPr>
            </w:pPr>
            <w:r w:rsidRPr="00945B87">
              <w:rPr>
                <w:sz w:val="22"/>
                <w:szCs w:val="22"/>
              </w:rPr>
              <w:t>6,653.88</w:t>
            </w:r>
          </w:p>
        </w:tc>
        <w:tc>
          <w:tcPr>
            <w:tcW w:w="1062" w:type="pct"/>
            <w:tcBorders>
              <w:right w:val="single" w:sz="4" w:space="0" w:color="auto"/>
              <w:tl2br w:val="nil"/>
              <w:tr2bl w:val="nil"/>
            </w:tcBorders>
            <w:shd w:val="clear" w:color="auto" w:fill="auto"/>
            <w:noWrap/>
            <w:vAlign w:val="center"/>
          </w:tcPr>
          <w:p w14:paraId="4D87FBF5" w14:textId="0A76B29E" w:rsidR="00E41573" w:rsidRPr="00945B87" w:rsidRDefault="00E41573" w:rsidP="00AA3B25">
            <w:pPr>
              <w:widowControl/>
              <w:snapToGrid w:val="0"/>
              <w:jc w:val="center"/>
              <w:rPr>
                <w:sz w:val="22"/>
                <w:szCs w:val="22"/>
              </w:rPr>
            </w:pPr>
            <w:r w:rsidRPr="00945B87">
              <w:rPr>
                <w:sz w:val="22"/>
                <w:szCs w:val="22"/>
                <w:lang w:bidi="ar"/>
              </w:rPr>
              <w:t>202</w:t>
            </w:r>
            <w:r w:rsidR="00AA3B25">
              <w:rPr>
                <w:sz w:val="22"/>
                <w:szCs w:val="22"/>
                <w:lang w:bidi="ar"/>
              </w:rPr>
              <w:t>5</w:t>
            </w:r>
            <w:r w:rsidRPr="00945B87">
              <w:rPr>
                <w:sz w:val="22"/>
                <w:szCs w:val="22"/>
                <w:lang w:bidi="ar"/>
              </w:rPr>
              <w:t>年</w:t>
            </w:r>
            <w:r w:rsidR="00AA3B25">
              <w:rPr>
                <w:sz w:val="22"/>
                <w:szCs w:val="22"/>
                <w:lang w:bidi="ar"/>
              </w:rPr>
              <w:t>6</w:t>
            </w:r>
            <w:r w:rsidRPr="00945B87">
              <w:rPr>
                <w:sz w:val="22"/>
                <w:szCs w:val="22"/>
                <w:lang w:bidi="ar"/>
              </w:rPr>
              <w:t>月</w:t>
            </w:r>
          </w:p>
        </w:tc>
      </w:tr>
      <w:tr w:rsidR="00E41573" w:rsidRPr="00945B87" w14:paraId="7EC1CE44" w14:textId="77777777" w:rsidTr="00D27248">
        <w:trPr>
          <w:cantSplit/>
          <w:trHeight w:val="397"/>
          <w:jc w:val="center"/>
        </w:trPr>
        <w:tc>
          <w:tcPr>
            <w:tcW w:w="335" w:type="pct"/>
            <w:tcBorders>
              <w:left w:val="single" w:sz="4" w:space="0" w:color="auto"/>
              <w:tl2br w:val="nil"/>
              <w:tr2bl w:val="nil"/>
            </w:tcBorders>
            <w:shd w:val="clear" w:color="auto" w:fill="auto"/>
            <w:noWrap/>
            <w:vAlign w:val="center"/>
          </w:tcPr>
          <w:p w14:paraId="5FA77E64" w14:textId="77777777" w:rsidR="00E41573" w:rsidRPr="00945B87" w:rsidRDefault="00E41573" w:rsidP="00B034F4">
            <w:pPr>
              <w:widowControl/>
              <w:adjustRightInd w:val="0"/>
              <w:snapToGrid w:val="0"/>
              <w:jc w:val="center"/>
              <w:rPr>
                <w:spacing w:val="-6"/>
                <w:kern w:val="0"/>
                <w:sz w:val="22"/>
                <w:szCs w:val="22"/>
              </w:rPr>
            </w:pPr>
            <w:r w:rsidRPr="00945B87">
              <w:rPr>
                <w:spacing w:val="-6"/>
                <w:kern w:val="0"/>
                <w:sz w:val="22"/>
                <w:szCs w:val="22"/>
                <w:lang w:bidi="ar"/>
              </w:rPr>
              <w:t>2</w:t>
            </w:r>
          </w:p>
        </w:tc>
        <w:tc>
          <w:tcPr>
            <w:tcW w:w="1795" w:type="pct"/>
            <w:tcBorders>
              <w:tl2br w:val="nil"/>
              <w:tr2bl w:val="nil"/>
            </w:tcBorders>
            <w:shd w:val="clear" w:color="auto" w:fill="auto"/>
            <w:noWrap/>
            <w:vAlign w:val="center"/>
          </w:tcPr>
          <w:p w14:paraId="37A8A90E" w14:textId="77777777" w:rsidR="00E41573" w:rsidRPr="00945B87" w:rsidRDefault="00E41573" w:rsidP="00B034F4">
            <w:pPr>
              <w:widowControl/>
              <w:snapToGrid w:val="0"/>
              <w:jc w:val="left"/>
              <w:rPr>
                <w:sz w:val="22"/>
                <w:szCs w:val="22"/>
              </w:rPr>
            </w:pPr>
            <w:r w:rsidRPr="00945B87">
              <w:rPr>
                <w:sz w:val="22"/>
                <w:szCs w:val="22"/>
                <w:lang w:bidi="ar"/>
              </w:rPr>
              <w:t>4G</w:t>
            </w:r>
            <w:r w:rsidRPr="00945B87">
              <w:rPr>
                <w:sz w:val="22"/>
                <w:szCs w:val="22"/>
                <w:lang w:bidi="ar"/>
              </w:rPr>
              <w:t>及</w:t>
            </w:r>
            <w:r w:rsidRPr="00945B87">
              <w:rPr>
                <w:sz w:val="22"/>
                <w:szCs w:val="22"/>
                <w:lang w:bidi="ar"/>
              </w:rPr>
              <w:t>NB</w:t>
            </w:r>
            <w:r w:rsidRPr="00945B87">
              <w:rPr>
                <w:sz w:val="22"/>
                <w:szCs w:val="22"/>
                <w:lang w:bidi="ar"/>
              </w:rPr>
              <w:t>无线通信模块和解决方案研发及产业化项目</w:t>
            </w:r>
          </w:p>
        </w:tc>
        <w:tc>
          <w:tcPr>
            <w:tcW w:w="861" w:type="pct"/>
            <w:tcBorders>
              <w:tl2br w:val="nil"/>
              <w:tr2bl w:val="nil"/>
            </w:tcBorders>
            <w:shd w:val="clear" w:color="auto" w:fill="auto"/>
            <w:noWrap/>
            <w:vAlign w:val="center"/>
          </w:tcPr>
          <w:p w14:paraId="5C6A590C" w14:textId="2C3B04CF" w:rsidR="00E41573" w:rsidRPr="006E5C00" w:rsidRDefault="006E5C00" w:rsidP="006E5C00">
            <w:pPr>
              <w:widowControl/>
              <w:snapToGrid w:val="0"/>
              <w:jc w:val="right"/>
              <w:rPr>
                <w:sz w:val="22"/>
                <w:szCs w:val="22"/>
              </w:rPr>
            </w:pPr>
            <w:r w:rsidRPr="006E5C00">
              <w:rPr>
                <w:sz w:val="22"/>
                <w:szCs w:val="22"/>
              </w:rPr>
              <w:t>11</w:t>
            </w:r>
            <w:r w:rsidR="00E41573" w:rsidRPr="006E5C00">
              <w:rPr>
                <w:sz w:val="22"/>
                <w:szCs w:val="22"/>
              </w:rPr>
              <w:t>,</w:t>
            </w:r>
            <w:r w:rsidRPr="006E5C00">
              <w:rPr>
                <w:sz w:val="22"/>
                <w:szCs w:val="22"/>
              </w:rPr>
              <w:t>748</w:t>
            </w:r>
            <w:r w:rsidR="00E41573" w:rsidRPr="006E5C00">
              <w:rPr>
                <w:sz w:val="22"/>
                <w:szCs w:val="22"/>
              </w:rPr>
              <w:t>.</w:t>
            </w:r>
            <w:r w:rsidRPr="006E5C00">
              <w:rPr>
                <w:sz w:val="22"/>
                <w:szCs w:val="22"/>
              </w:rPr>
              <w:t>87</w:t>
            </w:r>
          </w:p>
        </w:tc>
        <w:tc>
          <w:tcPr>
            <w:tcW w:w="948" w:type="pct"/>
            <w:tcBorders>
              <w:tl2br w:val="nil"/>
              <w:tr2bl w:val="nil"/>
            </w:tcBorders>
            <w:shd w:val="clear" w:color="auto" w:fill="auto"/>
            <w:noWrap/>
            <w:vAlign w:val="center"/>
          </w:tcPr>
          <w:p w14:paraId="76E70ED4" w14:textId="651B2AC4" w:rsidR="00E41573" w:rsidRPr="006E4693" w:rsidRDefault="001A7730" w:rsidP="00945B87">
            <w:pPr>
              <w:widowControl/>
              <w:adjustRightInd w:val="0"/>
              <w:snapToGrid w:val="0"/>
              <w:jc w:val="right"/>
              <w:rPr>
                <w:spacing w:val="-6"/>
                <w:kern w:val="0"/>
                <w:sz w:val="22"/>
                <w:szCs w:val="22"/>
                <w:highlight w:val="yellow"/>
              </w:rPr>
            </w:pPr>
            <w:r w:rsidRPr="006E4693">
              <w:rPr>
                <w:sz w:val="22"/>
                <w:szCs w:val="22"/>
              </w:rPr>
              <w:t>7,415.47</w:t>
            </w:r>
          </w:p>
        </w:tc>
        <w:tc>
          <w:tcPr>
            <w:tcW w:w="1062" w:type="pct"/>
            <w:tcBorders>
              <w:right w:val="single" w:sz="4" w:space="0" w:color="auto"/>
              <w:tl2br w:val="nil"/>
              <w:tr2bl w:val="nil"/>
            </w:tcBorders>
            <w:shd w:val="clear" w:color="auto" w:fill="auto"/>
            <w:noWrap/>
            <w:vAlign w:val="center"/>
          </w:tcPr>
          <w:p w14:paraId="1930C352" w14:textId="7BF5D4C2" w:rsidR="00E41573" w:rsidRPr="00945B87" w:rsidRDefault="00AA3B25" w:rsidP="00B034F4">
            <w:pPr>
              <w:widowControl/>
              <w:snapToGrid w:val="0"/>
              <w:jc w:val="center"/>
              <w:rPr>
                <w:sz w:val="22"/>
                <w:szCs w:val="22"/>
              </w:rPr>
            </w:pPr>
            <w:r>
              <w:rPr>
                <w:rFonts w:hint="eastAsia"/>
                <w:sz w:val="22"/>
                <w:szCs w:val="22"/>
                <w:lang w:bidi="ar"/>
              </w:rPr>
              <w:t>已完成</w:t>
            </w:r>
          </w:p>
        </w:tc>
      </w:tr>
      <w:tr w:rsidR="00E41573" w:rsidRPr="00945B87" w14:paraId="1A9DF58C" w14:textId="77777777" w:rsidTr="00D27248">
        <w:trPr>
          <w:cantSplit/>
          <w:trHeight w:val="397"/>
          <w:jc w:val="center"/>
        </w:trPr>
        <w:tc>
          <w:tcPr>
            <w:tcW w:w="335" w:type="pct"/>
            <w:tcBorders>
              <w:left w:val="single" w:sz="4" w:space="0" w:color="auto"/>
              <w:tl2br w:val="nil"/>
              <w:tr2bl w:val="nil"/>
            </w:tcBorders>
            <w:shd w:val="clear" w:color="auto" w:fill="auto"/>
            <w:noWrap/>
            <w:vAlign w:val="center"/>
          </w:tcPr>
          <w:p w14:paraId="6C1310B8" w14:textId="77777777" w:rsidR="00E41573" w:rsidRPr="00945B87" w:rsidRDefault="00E41573" w:rsidP="00B034F4">
            <w:pPr>
              <w:widowControl/>
              <w:adjustRightInd w:val="0"/>
              <w:snapToGrid w:val="0"/>
              <w:jc w:val="center"/>
              <w:rPr>
                <w:spacing w:val="-6"/>
                <w:kern w:val="0"/>
                <w:sz w:val="22"/>
                <w:szCs w:val="22"/>
              </w:rPr>
            </w:pPr>
            <w:r w:rsidRPr="00945B87">
              <w:rPr>
                <w:spacing w:val="-6"/>
                <w:kern w:val="0"/>
                <w:sz w:val="22"/>
                <w:szCs w:val="22"/>
                <w:lang w:bidi="ar"/>
              </w:rPr>
              <w:t>3</w:t>
            </w:r>
          </w:p>
        </w:tc>
        <w:tc>
          <w:tcPr>
            <w:tcW w:w="1795" w:type="pct"/>
            <w:tcBorders>
              <w:tl2br w:val="nil"/>
              <w:tr2bl w:val="nil"/>
            </w:tcBorders>
            <w:shd w:val="clear" w:color="auto" w:fill="auto"/>
            <w:noWrap/>
            <w:vAlign w:val="center"/>
          </w:tcPr>
          <w:p w14:paraId="3275532A" w14:textId="77777777" w:rsidR="00E41573" w:rsidRPr="00945B87" w:rsidRDefault="00E41573" w:rsidP="00B034F4">
            <w:pPr>
              <w:widowControl/>
              <w:snapToGrid w:val="0"/>
              <w:jc w:val="left"/>
              <w:rPr>
                <w:sz w:val="22"/>
                <w:szCs w:val="22"/>
              </w:rPr>
            </w:pPr>
            <w:r w:rsidRPr="00945B87">
              <w:rPr>
                <w:sz w:val="22"/>
                <w:szCs w:val="22"/>
                <w:lang w:bidi="ar"/>
              </w:rPr>
              <w:t>5G</w:t>
            </w:r>
            <w:r w:rsidRPr="00945B87">
              <w:rPr>
                <w:sz w:val="22"/>
                <w:szCs w:val="22"/>
                <w:lang w:bidi="ar"/>
              </w:rPr>
              <w:t>无线通信模块和解决方案研发及产业化项目</w:t>
            </w:r>
          </w:p>
        </w:tc>
        <w:tc>
          <w:tcPr>
            <w:tcW w:w="861" w:type="pct"/>
            <w:tcBorders>
              <w:tl2br w:val="nil"/>
              <w:tr2bl w:val="nil"/>
            </w:tcBorders>
            <w:shd w:val="clear" w:color="auto" w:fill="auto"/>
            <w:noWrap/>
            <w:vAlign w:val="center"/>
          </w:tcPr>
          <w:p w14:paraId="5A043086" w14:textId="64B0BCBC" w:rsidR="00E41573" w:rsidRPr="006E5C00" w:rsidRDefault="001A7730" w:rsidP="001A7730">
            <w:pPr>
              <w:widowControl/>
              <w:snapToGrid w:val="0"/>
              <w:jc w:val="right"/>
              <w:rPr>
                <w:sz w:val="22"/>
                <w:szCs w:val="22"/>
              </w:rPr>
            </w:pPr>
            <w:r w:rsidRPr="006E5C00">
              <w:rPr>
                <w:sz w:val="22"/>
                <w:szCs w:val="22"/>
              </w:rPr>
              <w:t>22</w:t>
            </w:r>
            <w:r w:rsidR="00E41573" w:rsidRPr="006E5C00">
              <w:rPr>
                <w:sz w:val="22"/>
                <w:szCs w:val="22"/>
              </w:rPr>
              <w:t>,</w:t>
            </w:r>
            <w:r w:rsidRPr="006E5C00">
              <w:rPr>
                <w:sz w:val="22"/>
                <w:szCs w:val="22"/>
              </w:rPr>
              <w:t>210</w:t>
            </w:r>
            <w:r w:rsidR="00E41573" w:rsidRPr="006E5C00">
              <w:rPr>
                <w:sz w:val="22"/>
                <w:szCs w:val="22"/>
              </w:rPr>
              <w:t>.</w:t>
            </w:r>
            <w:r w:rsidRPr="006E5C00">
              <w:rPr>
                <w:sz w:val="22"/>
                <w:szCs w:val="22"/>
              </w:rPr>
              <w:t>51</w:t>
            </w:r>
          </w:p>
        </w:tc>
        <w:tc>
          <w:tcPr>
            <w:tcW w:w="948" w:type="pct"/>
            <w:tcBorders>
              <w:tl2br w:val="nil"/>
              <w:tr2bl w:val="nil"/>
            </w:tcBorders>
            <w:shd w:val="clear" w:color="auto" w:fill="auto"/>
            <w:noWrap/>
            <w:vAlign w:val="center"/>
          </w:tcPr>
          <w:p w14:paraId="6DC65C58" w14:textId="50EF3D4E" w:rsidR="00E41573" w:rsidRPr="00945B87" w:rsidRDefault="001A7730" w:rsidP="00945B87">
            <w:pPr>
              <w:widowControl/>
              <w:adjustRightInd w:val="0"/>
              <w:snapToGrid w:val="0"/>
              <w:jc w:val="right"/>
              <w:rPr>
                <w:spacing w:val="-6"/>
                <w:kern w:val="0"/>
                <w:sz w:val="22"/>
                <w:szCs w:val="22"/>
              </w:rPr>
            </w:pPr>
            <w:r w:rsidRPr="00945B87">
              <w:rPr>
                <w:sz w:val="22"/>
                <w:szCs w:val="22"/>
              </w:rPr>
              <w:t>14,018.48</w:t>
            </w:r>
          </w:p>
        </w:tc>
        <w:tc>
          <w:tcPr>
            <w:tcW w:w="1062" w:type="pct"/>
            <w:tcBorders>
              <w:right w:val="single" w:sz="4" w:space="0" w:color="auto"/>
              <w:tl2br w:val="nil"/>
              <w:tr2bl w:val="nil"/>
            </w:tcBorders>
            <w:shd w:val="clear" w:color="auto" w:fill="auto"/>
            <w:noWrap/>
            <w:vAlign w:val="center"/>
          </w:tcPr>
          <w:p w14:paraId="6DD189BC" w14:textId="1A63D2B3" w:rsidR="00E41573" w:rsidRPr="00945B87" w:rsidRDefault="00E41573" w:rsidP="00AA3B25">
            <w:pPr>
              <w:widowControl/>
              <w:snapToGrid w:val="0"/>
              <w:jc w:val="center"/>
              <w:rPr>
                <w:sz w:val="22"/>
                <w:szCs w:val="22"/>
              </w:rPr>
            </w:pPr>
            <w:r w:rsidRPr="00945B87">
              <w:rPr>
                <w:sz w:val="22"/>
                <w:szCs w:val="22"/>
                <w:lang w:bidi="ar"/>
              </w:rPr>
              <w:t>202</w:t>
            </w:r>
            <w:r w:rsidR="00AA3B25">
              <w:rPr>
                <w:sz w:val="22"/>
                <w:szCs w:val="22"/>
                <w:lang w:bidi="ar"/>
              </w:rPr>
              <w:t>6</w:t>
            </w:r>
            <w:r w:rsidRPr="00945B87">
              <w:rPr>
                <w:sz w:val="22"/>
                <w:szCs w:val="22"/>
                <w:lang w:bidi="ar"/>
              </w:rPr>
              <w:t>年</w:t>
            </w:r>
            <w:r w:rsidR="00AA3B25">
              <w:rPr>
                <w:rFonts w:hint="eastAsia"/>
                <w:sz w:val="22"/>
                <w:szCs w:val="22"/>
                <w:lang w:bidi="ar"/>
              </w:rPr>
              <w:t>1</w:t>
            </w:r>
            <w:r w:rsidRPr="00945B87">
              <w:rPr>
                <w:sz w:val="22"/>
                <w:szCs w:val="22"/>
                <w:lang w:bidi="ar"/>
              </w:rPr>
              <w:t>2</w:t>
            </w:r>
            <w:r w:rsidRPr="00945B87">
              <w:rPr>
                <w:sz w:val="22"/>
                <w:szCs w:val="22"/>
                <w:lang w:bidi="ar"/>
              </w:rPr>
              <w:t>月</w:t>
            </w:r>
          </w:p>
        </w:tc>
      </w:tr>
      <w:tr w:rsidR="00E41573" w:rsidRPr="00945B87" w14:paraId="4FC428BC" w14:textId="77777777" w:rsidTr="00D27248">
        <w:trPr>
          <w:cantSplit/>
          <w:trHeight w:val="397"/>
          <w:jc w:val="center"/>
        </w:trPr>
        <w:tc>
          <w:tcPr>
            <w:tcW w:w="335" w:type="pct"/>
            <w:tcBorders>
              <w:left w:val="single" w:sz="4" w:space="0" w:color="auto"/>
              <w:tl2br w:val="nil"/>
              <w:tr2bl w:val="nil"/>
            </w:tcBorders>
            <w:shd w:val="clear" w:color="auto" w:fill="auto"/>
            <w:noWrap/>
            <w:vAlign w:val="center"/>
          </w:tcPr>
          <w:p w14:paraId="38E1C644" w14:textId="77777777" w:rsidR="00E41573" w:rsidRPr="00945B87" w:rsidRDefault="00E41573" w:rsidP="00B034F4">
            <w:pPr>
              <w:widowControl/>
              <w:adjustRightInd w:val="0"/>
              <w:snapToGrid w:val="0"/>
              <w:jc w:val="center"/>
              <w:rPr>
                <w:spacing w:val="-6"/>
                <w:kern w:val="0"/>
                <w:sz w:val="22"/>
                <w:szCs w:val="22"/>
              </w:rPr>
            </w:pPr>
            <w:r w:rsidRPr="00945B87">
              <w:rPr>
                <w:spacing w:val="-6"/>
                <w:kern w:val="0"/>
                <w:sz w:val="22"/>
                <w:szCs w:val="22"/>
                <w:lang w:bidi="ar"/>
              </w:rPr>
              <w:t>4</w:t>
            </w:r>
          </w:p>
        </w:tc>
        <w:tc>
          <w:tcPr>
            <w:tcW w:w="1795" w:type="pct"/>
            <w:tcBorders>
              <w:tl2br w:val="nil"/>
              <w:tr2bl w:val="nil"/>
            </w:tcBorders>
            <w:shd w:val="clear" w:color="auto" w:fill="auto"/>
            <w:noWrap/>
            <w:vAlign w:val="center"/>
          </w:tcPr>
          <w:p w14:paraId="487FE057" w14:textId="77777777" w:rsidR="00E41573" w:rsidRPr="00945B87" w:rsidRDefault="00E41573" w:rsidP="00B034F4">
            <w:pPr>
              <w:widowControl/>
              <w:snapToGrid w:val="0"/>
              <w:jc w:val="left"/>
              <w:rPr>
                <w:sz w:val="22"/>
                <w:szCs w:val="22"/>
              </w:rPr>
            </w:pPr>
            <w:r w:rsidRPr="00945B87">
              <w:rPr>
                <w:sz w:val="22"/>
                <w:szCs w:val="22"/>
                <w:lang w:bidi="ar"/>
              </w:rPr>
              <w:t>V2X</w:t>
            </w:r>
            <w:r w:rsidRPr="00945B87">
              <w:rPr>
                <w:sz w:val="22"/>
                <w:szCs w:val="22"/>
                <w:lang w:bidi="ar"/>
              </w:rPr>
              <w:t>解决方案研发及产业化项目</w:t>
            </w:r>
          </w:p>
        </w:tc>
        <w:tc>
          <w:tcPr>
            <w:tcW w:w="861" w:type="pct"/>
            <w:tcBorders>
              <w:tl2br w:val="nil"/>
              <w:tr2bl w:val="nil"/>
            </w:tcBorders>
            <w:shd w:val="clear" w:color="auto" w:fill="auto"/>
            <w:noWrap/>
            <w:vAlign w:val="center"/>
          </w:tcPr>
          <w:p w14:paraId="6CCE47F0" w14:textId="69483B19" w:rsidR="00E41573" w:rsidRPr="006E5C00" w:rsidRDefault="006E5C00" w:rsidP="006E5C00">
            <w:pPr>
              <w:widowControl/>
              <w:snapToGrid w:val="0"/>
              <w:jc w:val="right"/>
              <w:rPr>
                <w:sz w:val="22"/>
                <w:szCs w:val="22"/>
              </w:rPr>
            </w:pPr>
            <w:r w:rsidRPr="006E5C00">
              <w:rPr>
                <w:sz w:val="22"/>
                <w:szCs w:val="22"/>
              </w:rPr>
              <w:t>5</w:t>
            </w:r>
            <w:r w:rsidR="00E41573" w:rsidRPr="006E5C00">
              <w:rPr>
                <w:sz w:val="22"/>
                <w:szCs w:val="22"/>
              </w:rPr>
              <w:t>,</w:t>
            </w:r>
            <w:r w:rsidRPr="006E5C00">
              <w:rPr>
                <w:sz w:val="22"/>
                <w:szCs w:val="22"/>
              </w:rPr>
              <w:t>035</w:t>
            </w:r>
            <w:r w:rsidR="00E41573" w:rsidRPr="006E5C00">
              <w:rPr>
                <w:sz w:val="22"/>
                <w:szCs w:val="22"/>
              </w:rPr>
              <w:t>.</w:t>
            </w:r>
            <w:r w:rsidRPr="006E5C00">
              <w:rPr>
                <w:sz w:val="22"/>
                <w:szCs w:val="22"/>
              </w:rPr>
              <w:t>86</w:t>
            </w:r>
          </w:p>
        </w:tc>
        <w:tc>
          <w:tcPr>
            <w:tcW w:w="948" w:type="pct"/>
            <w:tcBorders>
              <w:tl2br w:val="nil"/>
              <w:tr2bl w:val="nil"/>
            </w:tcBorders>
            <w:shd w:val="clear" w:color="auto" w:fill="auto"/>
            <w:noWrap/>
            <w:vAlign w:val="center"/>
          </w:tcPr>
          <w:p w14:paraId="40AAB654" w14:textId="0245DC2A" w:rsidR="00E41573" w:rsidRPr="00945B87" w:rsidRDefault="001A7730" w:rsidP="00945B87">
            <w:pPr>
              <w:widowControl/>
              <w:adjustRightInd w:val="0"/>
              <w:snapToGrid w:val="0"/>
              <w:jc w:val="right"/>
              <w:rPr>
                <w:spacing w:val="-6"/>
                <w:kern w:val="0"/>
                <w:sz w:val="22"/>
                <w:szCs w:val="22"/>
              </w:rPr>
            </w:pPr>
            <w:r w:rsidRPr="00945B87">
              <w:rPr>
                <w:sz w:val="22"/>
                <w:szCs w:val="22"/>
              </w:rPr>
              <w:t>3,178.46</w:t>
            </w:r>
          </w:p>
        </w:tc>
        <w:tc>
          <w:tcPr>
            <w:tcW w:w="1062" w:type="pct"/>
            <w:tcBorders>
              <w:right w:val="single" w:sz="4" w:space="0" w:color="auto"/>
              <w:tl2br w:val="nil"/>
              <w:tr2bl w:val="nil"/>
            </w:tcBorders>
            <w:shd w:val="clear" w:color="auto" w:fill="auto"/>
            <w:noWrap/>
            <w:vAlign w:val="center"/>
          </w:tcPr>
          <w:p w14:paraId="70217CF8" w14:textId="3371A2B2" w:rsidR="00E41573" w:rsidRPr="00945B87" w:rsidRDefault="00AA3B25" w:rsidP="00B034F4">
            <w:pPr>
              <w:widowControl/>
              <w:snapToGrid w:val="0"/>
              <w:jc w:val="center"/>
              <w:rPr>
                <w:sz w:val="22"/>
                <w:szCs w:val="22"/>
              </w:rPr>
            </w:pPr>
            <w:r>
              <w:rPr>
                <w:rFonts w:hint="eastAsia"/>
                <w:sz w:val="22"/>
                <w:szCs w:val="22"/>
                <w:lang w:bidi="ar"/>
              </w:rPr>
              <w:t>已完成</w:t>
            </w:r>
          </w:p>
        </w:tc>
      </w:tr>
      <w:tr w:rsidR="00E41573" w:rsidRPr="00945B87" w14:paraId="32B6BF86" w14:textId="77777777" w:rsidTr="00D27248">
        <w:trPr>
          <w:cantSplit/>
          <w:trHeight w:val="397"/>
          <w:jc w:val="center"/>
        </w:trPr>
        <w:tc>
          <w:tcPr>
            <w:tcW w:w="335" w:type="pct"/>
            <w:tcBorders>
              <w:left w:val="single" w:sz="4" w:space="0" w:color="auto"/>
              <w:tl2br w:val="nil"/>
              <w:tr2bl w:val="nil"/>
            </w:tcBorders>
            <w:shd w:val="clear" w:color="auto" w:fill="auto"/>
            <w:noWrap/>
            <w:vAlign w:val="center"/>
          </w:tcPr>
          <w:p w14:paraId="335B8AD7" w14:textId="77777777" w:rsidR="00E41573" w:rsidRPr="00945B87" w:rsidRDefault="00E41573" w:rsidP="00B034F4">
            <w:pPr>
              <w:widowControl/>
              <w:adjustRightInd w:val="0"/>
              <w:snapToGrid w:val="0"/>
              <w:jc w:val="center"/>
              <w:rPr>
                <w:spacing w:val="-6"/>
                <w:kern w:val="0"/>
                <w:sz w:val="22"/>
                <w:szCs w:val="22"/>
              </w:rPr>
            </w:pPr>
            <w:r w:rsidRPr="00945B87">
              <w:rPr>
                <w:spacing w:val="-6"/>
                <w:kern w:val="0"/>
                <w:sz w:val="22"/>
                <w:szCs w:val="22"/>
                <w:lang w:bidi="ar"/>
              </w:rPr>
              <w:t>5</w:t>
            </w:r>
          </w:p>
        </w:tc>
        <w:tc>
          <w:tcPr>
            <w:tcW w:w="1795" w:type="pct"/>
            <w:tcBorders>
              <w:tl2br w:val="nil"/>
              <w:tr2bl w:val="nil"/>
            </w:tcBorders>
            <w:shd w:val="clear" w:color="auto" w:fill="auto"/>
            <w:noWrap/>
            <w:vAlign w:val="center"/>
          </w:tcPr>
          <w:p w14:paraId="59EA2C13" w14:textId="77777777" w:rsidR="00E41573" w:rsidRPr="00945B87" w:rsidRDefault="00E41573" w:rsidP="00B034F4">
            <w:pPr>
              <w:widowControl/>
              <w:snapToGrid w:val="0"/>
              <w:jc w:val="left"/>
              <w:rPr>
                <w:sz w:val="22"/>
                <w:szCs w:val="22"/>
              </w:rPr>
            </w:pPr>
            <w:r w:rsidRPr="00945B87">
              <w:rPr>
                <w:sz w:val="22"/>
                <w:szCs w:val="22"/>
                <w:lang w:bidi="ar"/>
              </w:rPr>
              <w:t>补充流动资金</w:t>
            </w:r>
          </w:p>
        </w:tc>
        <w:tc>
          <w:tcPr>
            <w:tcW w:w="861" w:type="pct"/>
            <w:tcBorders>
              <w:tl2br w:val="nil"/>
              <w:tr2bl w:val="nil"/>
            </w:tcBorders>
            <w:shd w:val="clear" w:color="auto" w:fill="auto"/>
            <w:noWrap/>
            <w:vAlign w:val="center"/>
          </w:tcPr>
          <w:p w14:paraId="07A9CA2B" w14:textId="77777777" w:rsidR="00E41573" w:rsidRPr="00945B87" w:rsidRDefault="00E41573" w:rsidP="00B034F4">
            <w:pPr>
              <w:widowControl/>
              <w:snapToGrid w:val="0"/>
              <w:jc w:val="right"/>
              <w:rPr>
                <w:sz w:val="22"/>
                <w:szCs w:val="22"/>
              </w:rPr>
            </w:pPr>
            <w:r w:rsidRPr="00945B87">
              <w:rPr>
                <w:sz w:val="22"/>
                <w:szCs w:val="22"/>
              </w:rPr>
              <w:t>10,000.00</w:t>
            </w:r>
          </w:p>
        </w:tc>
        <w:tc>
          <w:tcPr>
            <w:tcW w:w="948" w:type="pct"/>
            <w:tcBorders>
              <w:tl2br w:val="nil"/>
              <w:tr2bl w:val="nil"/>
            </w:tcBorders>
            <w:shd w:val="clear" w:color="auto" w:fill="auto"/>
            <w:noWrap/>
            <w:vAlign w:val="center"/>
          </w:tcPr>
          <w:p w14:paraId="17BD915D" w14:textId="36B8DD71" w:rsidR="00E41573" w:rsidRPr="00945B87" w:rsidRDefault="001A7730" w:rsidP="00945B87">
            <w:pPr>
              <w:widowControl/>
              <w:snapToGrid w:val="0"/>
              <w:jc w:val="right"/>
              <w:rPr>
                <w:spacing w:val="-6"/>
                <w:kern w:val="0"/>
                <w:sz w:val="22"/>
                <w:szCs w:val="22"/>
              </w:rPr>
            </w:pPr>
            <w:r w:rsidRPr="00945B87">
              <w:rPr>
                <w:sz w:val="22"/>
                <w:szCs w:val="22"/>
              </w:rPr>
              <w:t>10,000.00</w:t>
            </w:r>
          </w:p>
        </w:tc>
        <w:tc>
          <w:tcPr>
            <w:tcW w:w="1062" w:type="pct"/>
            <w:tcBorders>
              <w:right w:val="single" w:sz="4" w:space="0" w:color="auto"/>
              <w:tl2br w:val="nil"/>
              <w:tr2bl w:val="nil"/>
            </w:tcBorders>
            <w:shd w:val="clear" w:color="auto" w:fill="auto"/>
            <w:noWrap/>
            <w:vAlign w:val="center"/>
          </w:tcPr>
          <w:p w14:paraId="5E7E6A09" w14:textId="77777777" w:rsidR="00E41573" w:rsidRPr="00945B87" w:rsidRDefault="00E41573" w:rsidP="00B034F4">
            <w:pPr>
              <w:widowControl/>
              <w:snapToGrid w:val="0"/>
              <w:jc w:val="center"/>
              <w:rPr>
                <w:sz w:val="22"/>
                <w:szCs w:val="22"/>
              </w:rPr>
            </w:pPr>
            <w:r w:rsidRPr="00945B87">
              <w:rPr>
                <w:sz w:val="22"/>
                <w:szCs w:val="22"/>
                <w:lang w:bidi="ar"/>
              </w:rPr>
              <w:t>不适用</w:t>
            </w:r>
          </w:p>
        </w:tc>
      </w:tr>
      <w:tr w:rsidR="00E41573" w:rsidRPr="00945B87" w14:paraId="4EA78D44" w14:textId="77777777" w:rsidTr="00D27248">
        <w:trPr>
          <w:cantSplit/>
          <w:trHeight w:val="397"/>
          <w:jc w:val="center"/>
        </w:trPr>
        <w:tc>
          <w:tcPr>
            <w:tcW w:w="335" w:type="pct"/>
            <w:tcBorders>
              <w:left w:val="single" w:sz="4" w:space="0" w:color="auto"/>
              <w:bottom w:val="single" w:sz="4" w:space="0" w:color="auto"/>
              <w:tl2br w:val="nil"/>
              <w:tr2bl w:val="nil"/>
            </w:tcBorders>
            <w:shd w:val="clear" w:color="auto" w:fill="auto"/>
            <w:noWrap/>
            <w:vAlign w:val="center"/>
          </w:tcPr>
          <w:p w14:paraId="27DE52DF" w14:textId="77777777" w:rsidR="00E41573" w:rsidRPr="00945B87" w:rsidRDefault="00E41573" w:rsidP="00B034F4">
            <w:pPr>
              <w:widowControl/>
              <w:adjustRightInd w:val="0"/>
              <w:snapToGrid w:val="0"/>
              <w:jc w:val="center"/>
              <w:rPr>
                <w:b/>
                <w:spacing w:val="-6"/>
                <w:kern w:val="0"/>
                <w:sz w:val="22"/>
                <w:szCs w:val="22"/>
              </w:rPr>
            </w:pPr>
          </w:p>
        </w:tc>
        <w:tc>
          <w:tcPr>
            <w:tcW w:w="1795" w:type="pct"/>
            <w:tcBorders>
              <w:bottom w:val="single" w:sz="4" w:space="0" w:color="auto"/>
              <w:tl2br w:val="nil"/>
              <w:tr2bl w:val="nil"/>
            </w:tcBorders>
            <w:shd w:val="clear" w:color="auto" w:fill="auto"/>
            <w:noWrap/>
            <w:vAlign w:val="center"/>
          </w:tcPr>
          <w:p w14:paraId="171DEAAA" w14:textId="77777777" w:rsidR="00E41573" w:rsidRPr="00945B87" w:rsidRDefault="00E41573" w:rsidP="00B034F4">
            <w:pPr>
              <w:widowControl/>
              <w:snapToGrid w:val="0"/>
              <w:jc w:val="center"/>
              <w:rPr>
                <w:b/>
                <w:sz w:val="22"/>
                <w:szCs w:val="22"/>
              </w:rPr>
            </w:pPr>
            <w:r w:rsidRPr="00945B87">
              <w:rPr>
                <w:b/>
                <w:sz w:val="22"/>
                <w:szCs w:val="22"/>
                <w:lang w:bidi="ar"/>
              </w:rPr>
              <w:t>合计</w:t>
            </w:r>
          </w:p>
        </w:tc>
        <w:tc>
          <w:tcPr>
            <w:tcW w:w="861" w:type="pct"/>
            <w:tcBorders>
              <w:bottom w:val="single" w:sz="4" w:space="0" w:color="auto"/>
              <w:tl2br w:val="nil"/>
              <w:tr2bl w:val="nil"/>
            </w:tcBorders>
            <w:shd w:val="clear" w:color="auto" w:fill="auto"/>
            <w:noWrap/>
            <w:vAlign w:val="center"/>
          </w:tcPr>
          <w:p w14:paraId="71C03154" w14:textId="7FC8B3B2" w:rsidR="00E41573" w:rsidRPr="00945B87" w:rsidRDefault="0072630C" w:rsidP="0072630C">
            <w:pPr>
              <w:widowControl/>
              <w:snapToGrid w:val="0"/>
              <w:jc w:val="right"/>
              <w:rPr>
                <w:b/>
                <w:sz w:val="22"/>
                <w:szCs w:val="22"/>
              </w:rPr>
            </w:pPr>
            <w:r>
              <w:rPr>
                <w:b/>
                <w:sz w:val="22"/>
                <w:szCs w:val="22"/>
              </w:rPr>
              <w:t>55</w:t>
            </w:r>
            <w:r w:rsidR="00E41573" w:rsidRPr="00945B87">
              <w:rPr>
                <w:b/>
                <w:sz w:val="22"/>
                <w:szCs w:val="22"/>
              </w:rPr>
              <w:t>,</w:t>
            </w:r>
            <w:r>
              <w:rPr>
                <w:b/>
                <w:sz w:val="22"/>
                <w:szCs w:val="22"/>
              </w:rPr>
              <w:t>649</w:t>
            </w:r>
            <w:r w:rsidR="00E41573" w:rsidRPr="00945B87">
              <w:rPr>
                <w:b/>
                <w:sz w:val="22"/>
                <w:szCs w:val="22"/>
              </w:rPr>
              <w:t>.</w:t>
            </w:r>
            <w:r>
              <w:rPr>
                <w:b/>
                <w:sz w:val="22"/>
                <w:szCs w:val="22"/>
              </w:rPr>
              <w:t>12</w:t>
            </w:r>
          </w:p>
        </w:tc>
        <w:tc>
          <w:tcPr>
            <w:tcW w:w="948" w:type="pct"/>
            <w:tcBorders>
              <w:bottom w:val="single" w:sz="4" w:space="0" w:color="auto"/>
              <w:tl2br w:val="nil"/>
              <w:tr2bl w:val="nil"/>
            </w:tcBorders>
            <w:shd w:val="clear" w:color="auto" w:fill="auto"/>
            <w:noWrap/>
            <w:vAlign w:val="center"/>
          </w:tcPr>
          <w:p w14:paraId="75315ED8" w14:textId="11C39DBF" w:rsidR="00E41573" w:rsidRPr="00945B87" w:rsidRDefault="001A7730" w:rsidP="00945B87">
            <w:pPr>
              <w:widowControl/>
              <w:snapToGrid w:val="0"/>
              <w:jc w:val="right"/>
              <w:rPr>
                <w:b/>
                <w:spacing w:val="-6"/>
                <w:kern w:val="0"/>
                <w:sz w:val="22"/>
                <w:szCs w:val="22"/>
              </w:rPr>
            </w:pPr>
            <w:r w:rsidRPr="00945B87">
              <w:rPr>
                <w:b/>
                <w:sz w:val="22"/>
                <w:szCs w:val="22"/>
              </w:rPr>
              <w:t>41,266.29</w:t>
            </w:r>
          </w:p>
        </w:tc>
        <w:tc>
          <w:tcPr>
            <w:tcW w:w="1062" w:type="pct"/>
            <w:tcBorders>
              <w:bottom w:val="single" w:sz="4" w:space="0" w:color="auto"/>
              <w:right w:val="single" w:sz="4" w:space="0" w:color="auto"/>
              <w:tl2br w:val="nil"/>
              <w:tr2bl w:val="nil"/>
            </w:tcBorders>
            <w:shd w:val="clear" w:color="auto" w:fill="auto"/>
            <w:noWrap/>
            <w:vAlign w:val="center"/>
          </w:tcPr>
          <w:p w14:paraId="02108413" w14:textId="77777777" w:rsidR="00E41573" w:rsidRPr="00945B87" w:rsidRDefault="00E41573" w:rsidP="00B034F4">
            <w:pPr>
              <w:widowControl/>
              <w:snapToGrid w:val="0"/>
              <w:rPr>
                <w:b/>
                <w:sz w:val="22"/>
                <w:szCs w:val="22"/>
              </w:rPr>
            </w:pPr>
          </w:p>
        </w:tc>
      </w:tr>
    </w:tbl>
    <w:p w14:paraId="0B2BFA76" w14:textId="2B94F086" w:rsidR="003A6799" w:rsidRPr="00A24A63" w:rsidRDefault="00A40990" w:rsidP="00D27248">
      <w:pPr>
        <w:autoSpaceDE w:val="0"/>
        <w:autoSpaceDN w:val="0"/>
        <w:adjustRightInd w:val="0"/>
        <w:spacing w:line="360" w:lineRule="auto"/>
        <w:ind w:firstLineChars="201" w:firstLine="565"/>
        <w:jc w:val="left"/>
        <w:rPr>
          <w:rFonts w:ascii="宋体" w:hAnsi="Calibri" w:cs="宋体"/>
          <w:b/>
          <w:kern w:val="0"/>
          <w:sz w:val="28"/>
          <w:szCs w:val="28"/>
        </w:rPr>
      </w:pPr>
      <w:r w:rsidRPr="00945B87">
        <w:rPr>
          <w:rFonts w:ascii="宋体" w:hAnsi="Calibri" w:cs="宋体" w:hint="eastAsia"/>
          <w:b/>
          <w:kern w:val="0"/>
          <w:sz w:val="28"/>
          <w:szCs w:val="28"/>
        </w:rPr>
        <w:t>四</w:t>
      </w:r>
      <w:r w:rsidR="003A6799" w:rsidRPr="00945B87">
        <w:rPr>
          <w:rFonts w:ascii="宋体" w:hAnsi="Calibri" w:cs="宋体" w:hint="eastAsia"/>
          <w:b/>
          <w:kern w:val="0"/>
          <w:sz w:val="28"/>
          <w:szCs w:val="28"/>
        </w:rPr>
        <w:t>、本次借用部分闲置募集资金临时补充流动资金的计划</w:t>
      </w:r>
    </w:p>
    <w:p w14:paraId="52E7AF0D" w14:textId="690F0680" w:rsidR="00CA699E" w:rsidRPr="00CA699E" w:rsidRDefault="00CA699E" w:rsidP="00A51B23">
      <w:pPr>
        <w:autoSpaceDE w:val="0"/>
        <w:autoSpaceDN w:val="0"/>
        <w:adjustRightInd w:val="0"/>
        <w:spacing w:line="360" w:lineRule="auto"/>
        <w:ind w:firstLineChars="200" w:firstLine="560"/>
        <w:rPr>
          <w:rFonts w:ascii="宋体" w:hAnsi="Calibri" w:cs="宋体"/>
          <w:kern w:val="0"/>
          <w:sz w:val="28"/>
          <w:szCs w:val="28"/>
        </w:rPr>
      </w:pPr>
      <w:r w:rsidRPr="00CA699E">
        <w:rPr>
          <w:rFonts w:ascii="宋体" w:hAnsi="Calibri" w:cs="宋体" w:hint="eastAsia"/>
          <w:kern w:val="0"/>
          <w:sz w:val="28"/>
          <w:szCs w:val="28"/>
        </w:rPr>
        <w:t>根据募集资金投资项目的资金使用计划及项目的建设进度，公司</w:t>
      </w:r>
      <w:r w:rsidR="000527E8">
        <w:rPr>
          <w:rFonts w:ascii="宋体" w:hAnsi="Calibri" w:cs="宋体" w:hint="eastAsia"/>
          <w:kern w:val="0"/>
          <w:sz w:val="28"/>
          <w:szCs w:val="28"/>
        </w:rPr>
        <w:t>及全资子公司</w:t>
      </w:r>
      <w:r w:rsidRPr="00CA699E">
        <w:rPr>
          <w:rFonts w:ascii="宋体" w:hAnsi="Calibri" w:cs="宋体" w:hint="eastAsia"/>
          <w:kern w:val="0"/>
          <w:sz w:val="28"/>
          <w:szCs w:val="28"/>
        </w:rPr>
        <w:t>在确保不影响募集资金投资项目建设进度的前提下，为了提高募集资金使用效率、降低公司财务成本、解决公司运营发展的资金需求，拟使用不超过人民币</w:t>
      </w:r>
      <w:r w:rsidR="00AA3B25">
        <w:rPr>
          <w:rFonts w:ascii="宋体" w:hAnsi="Calibri" w:cs="宋体"/>
          <w:kern w:val="0"/>
          <w:sz w:val="28"/>
          <w:szCs w:val="28"/>
        </w:rPr>
        <w:t>5</w:t>
      </w:r>
      <w:r w:rsidRPr="00CA699E">
        <w:rPr>
          <w:rFonts w:ascii="宋体" w:hAnsi="Calibri" w:cs="宋体" w:hint="eastAsia"/>
          <w:kern w:val="0"/>
          <w:sz w:val="28"/>
          <w:szCs w:val="28"/>
        </w:rPr>
        <w:t>,</w:t>
      </w:r>
      <w:r w:rsidR="0072630C">
        <w:rPr>
          <w:rFonts w:ascii="宋体" w:hAnsi="Calibri" w:cs="宋体"/>
          <w:kern w:val="0"/>
          <w:sz w:val="28"/>
          <w:szCs w:val="28"/>
        </w:rPr>
        <w:t>5</w:t>
      </w:r>
      <w:r w:rsidRPr="00CA699E">
        <w:rPr>
          <w:rFonts w:ascii="宋体" w:hAnsi="Calibri" w:cs="宋体" w:hint="eastAsia"/>
          <w:kern w:val="0"/>
          <w:sz w:val="28"/>
          <w:szCs w:val="28"/>
        </w:rPr>
        <w:t>00万元闲置募集资金暂时补充流</w:t>
      </w:r>
      <w:r w:rsidRPr="00CA699E">
        <w:rPr>
          <w:rFonts w:ascii="宋体" w:hAnsi="Calibri" w:cs="宋体" w:hint="eastAsia"/>
          <w:kern w:val="0"/>
          <w:sz w:val="28"/>
          <w:szCs w:val="28"/>
        </w:rPr>
        <w:lastRenderedPageBreak/>
        <w:t>动资金，使用期限自公司董事会审议通过之日起不超过12个月，并且公司将随时根据募投项目的进展及需求情况及时归还至募集资金专用账户。</w:t>
      </w:r>
    </w:p>
    <w:p w14:paraId="3E103FE1" w14:textId="4D8ABEF2" w:rsidR="003A6799" w:rsidRPr="00A24A63" w:rsidRDefault="00CA699E" w:rsidP="00A51B23">
      <w:pPr>
        <w:autoSpaceDE w:val="0"/>
        <w:autoSpaceDN w:val="0"/>
        <w:adjustRightInd w:val="0"/>
        <w:spacing w:line="360" w:lineRule="auto"/>
        <w:ind w:firstLineChars="200" w:firstLine="560"/>
        <w:rPr>
          <w:rFonts w:ascii="宋体" w:hAnsi="Calibri" w:cs="宋体"/>
          <w:kern w:val="0"/>
          <w:sz w:val="28"/>
          <w:szCs w:val="28"/>
        </w:rPr>
      </w:pPr>
      <w:r w:rsidRPr="00CA699E">
        <w:rPr>
          <w:rFonts w:ascii="宋体" w:hAnsi="Calibri" w:cs="宋体" w:hint="eastAsia"/>
          <w:kern w:val="0"/>
          <w:sz w:val="28"/>
          <w:szCs w:val="28"/>
        </w:rPr>
        <w:t>本次使用部分闲置募集资金暂时补充流动资金仅用于公司的日常经营、业务拓展等与主营业务相关的生产经营活动，不会通过直接或间接的安排用于新股配售、申购，或用于股票及其衍生产品种、可转债等交易，不会变相改变募集资金用途，也不会影响募集资金投资计划的正常进行。</w:t>
      </w:r>
    </w:p>
    <w:p w14:paraId="106F660B" w14:textId="4DAD8874" w:rsidR="003A6799" w:rsidRPr="00A24A63" w:rsidRDefault="00D22F9E" w:rsidP="00A51B23">
      <w:pPr>
        <w:autoSpaceDE w:val="0"/>
        <w:autoSpaceDN w:val="0"/>
        <w:adjustRightInd w:val="0"/>
        <w:spacing w:line="360" w:lineRule="auto"/>
        <w:ind w:firstLineChars="200" w:firstLine="562"/>
        <w:jc w:val="left"/>
        <w:rPr>
          <w:rFonts w:ascii="宋体" w:hAnsi="Calibri" w:cs="宋体"/>
          <w:b/>
          <w:kern w:val="0"/>
          <w:sz w:val="28"/>
          <w:szCs w:val="28"/>
        </w:rPr>
      </w:pPr>
      <w:r>
        <w:rPr>
          <w:rFonts w:ascii="宋体" w:hAnsi="Calibri" w:cs="宋体" w:hint="eastAsia"/>
          <w:b/>
          <w:kern w:val="0"/>
          <w:sz w:val="28"/>
          <w:szCs w:val="28"/>
        </w:rPr>
        <w:t>五</w:t>
      </w:r>
      <w:r w:rsidR="003A6799" w:rsidRPr="00A24A63">
        <w:rPr>
          <w:rFonts w:ascii="宋体" w:hAnsi="Calibri" w:cs="宋体" w:hint="eastAsia"/>
          <w:b/>
          <w:kern w:val="0"/>
          <w:sz w:val="28"/>
          <w:szCs w:val="28"/>
        </w:rPr>
        <w:t>、本次以部分闲置募集资金临时补充流动资金计划的董事会审议程序</w:t>
      </w:r>
    </w:p>
    <w:p w14:paraId="1CAA7C87" w14:textId="1A29D536" w:rsidR="003A6799" w:rsidRPr="00A24A63" w:rsidRDefault="00CA699E" w:rsidP="00A51B23">
      <w:pPr>
        <w:autoSpaceDE w:val="0"/>
        <w:autoSpaceDN w:val="0"/>
        <w:adjustRightInd w:val="0"/>
        <w:spacing w:line="360" w:lineRule="auto"/>
        <w:ind w:firstLineChars="200" w:firstLine="560"/>
        <w:rPr>
          <w:rFonts w:ascii="宋体" w:hAnsi="Calibri" w:cs="宋体"/>
          <w:kern w:val="0"/>
          <w:sz w:val="28"/>
          <w:szCs w:val="28"/>
        </w:rPr>
      </w:pPr>
      <w:r w:rsidRPr="00CA699E">
        <w:rPr>
          <w:rFonts w:ascii="宋体" w:hAnsi="Calibri" w:cs="宋体" w:hint="eastAsia"/>
          <w:kern w:val="0"/>
          <w:sz w:val="28"/>
          <w:szCs w:val="28"/>
        </w:rPr>
        <w:t>公司于202</w:t>
      </w:r>
      <w:r w:rsidR="00AA3B25">
        <w:rPr>
          <w:rFonts w:ascii="宋体" w:hAnsi="Calibri" w:cs="宋体"/>
          <w:kern w:val="0"/>
          <w:sz w:val="28"/>
          <w:szCs w:val="28"/>
        </w:rPr>
        <w:t>5</w:t>
      </w:r>
      <w:r w:rsidRPr="00CA699E">
        <w:rPr>
          <w:rFonts w:ascii="宋体" w:hAnsi="Calibri" w:cs="宋体" w:hint="eastAsia"/>
          <w:kern w:val="0"/>
          <w:sz w:val="28"/>
          <w:szCs w:val="28"/>
        </w:rPr>
        <w:t>年</w:t>
      </w:r>
      <w:r w:rsidR="00572033">
        <w:rPr>
          <w:rFonts w:ascii="宋体" w:hAnsi="Calibri" w:cs="宋体"/>
          <w:kern w:val="0"/>
          <w:sz w:val="28"/>
          <w:szCs w:val="28"/>
        </w:rPr>
        <w:t>3</w:t>
      </w:r>
      <w:r w:rsidRPr="00CA699E">
        <w:rPr>
          <w:rFonts w:ascii="宋体" w:hAnsi="Calibri" w:cs="宋体" w:hint="eastAsia"/>
          <w:kern w:val="0"/>
          <w:sz w:val="28"/>
          <w:szCs w:val="28"/>
        </w:rPr>
        <w:t>月</w:t>
      </w:r>
      <w:r w:rsidR="006839BD">
        <w:rPr>
          <w:rFonts w:ascii="宋体" w:hAnsi="Calibri" w:cs="宋体"/>
          <w:kern w:val="0"/>
          <w:sz w:val="28"/>
          <w:szCs w:val="28"/>
        </w:rPr>
        <w:t>1</w:t>
      </w:r>
      <w:r w:rsidR="00AA3B25">
        <w:rPr>
          <w:rFonts w:ascii="宋体" w:hAnsi="Calibri" w:cs="宋体"/>
          <w:kern w:val="0"/>
          <w:sz w:val="28"/>
          <w:szCs w:val="28"/>
        </w:rPr>
        <w:t>2</w:t>
      </w:r>
      <w:r w:rsidRPr="00CA699E">
        <w:rPr>
          <w:rFonts w:ascii="宋体" w:hAnsi="Calibri" w:cs="宋体" w:hint="eastAsia"/>
          <w:kern w:val="0"/>
          <w:sz w:val="28"/>
          <w:szCs w:val="28"/>
        </w:rPr>
        <w:t>日召开第</w:t>
      </w:r>
      <w:r w:rsidR="00AA3B25">
        <w:rPr>
          <w:rFonts w:ascii="宋体" w:hAnsi="Calibri" w:cs="宋体" w:hint="eastAsia"/>
          <w:kern w:val="0"/>
          <w:sz w:val="28"/>
          <w:szCs w:val="28"/>
        </w:rPr>
        <w:t>四</w:t>
      </w:r>
      <w:r w:rsidRPr="00CA699E">
        <w:rPr>
          <w:rFonts w:ascii="宋体" w:hAnsi="Calibri" w:cs="宋体" w:hint="eastAsia"/>
          <w:kern w:val="0"/>
          <w:sz w:val="28"/>
          <w:szCs w:val="28"/>
        </w:rPr>
        <w:t>届董事会第</w:t>
      </w:r>
      <w:r w:rsidR="00AA3B25">
        <w:rPr>
          <w:rFonts w:ascii="宋体" w:hAnsi="Calibri" w:cs="宋体" w:hint="eastAsia"/>
          <w:kern w:val="0"/>
          <w:sz w:val="28"/>
          <w:szCs w:val="28"/>
        </w:rPr>
        <w:t>四</w:t>
      </w:r>
      <w:r w:rsidRPr="00CA699E">
        <w:rPr>
          <w:rFonts w:ascii="宋体" w:hAnsi="Calibri" w:cs="宋体" w:hint="eastAsia"/>
          <w:kern w:val="0"/>
          <w:sz w:val="28"/>
          <w:szCs w:val="28"/>
        </w:rPr>
        <w:t>次会议、第</w:t>
      </w:r>
      <w:r w:rsidR="00AA3B25">
        <w:rPr>
          <w:rFonts w:ascii="宋体" w:hAnsi="Calibri" w:cs="宋体" w:hint="eastAsia"/>
          <w:kern w:val="0"/>
          <w:sz w:val="28"/>
          <w:szCs w:val="28"/>
        </w:rPr>
        <w:t>四</w:t>
      </w:r>
      <w:r w:rsidRPr="00CA699E">
        <w:rPr>
          <w:rFonts w:ascii="宋体" w:hAnsi="Calibri" w:cs="宋体" w:hint="eastAsia"/>
          <w:kern w:val="0"/>
          <w:sz w:val="28"/>
          <w:szCs w:val="28"/>
        </w:rPr>
        <w:t>届监事会第</w:t>
      </w:r>
      <w:r w:rsidR="00AA3B25">
        <w:rPr>
          <w:rFonts w:ascii="宋体" w:hAnsi="Calibri" w:cs="宋体" w:hint="eastAsia"/>
          <w:kern w:val="0"/>
          <w:sz w:val="28"/>
          <w:szCs w:val="28"/>
        </w:rPr>
        <w:t>三</w:t>
      </w:r>
      <w:r w:rsidRPr="00CA699E">
        <w:rPr>
          <w:rFonts w:ascii="宋体" w:hAnsi="Calibri" w:cs="宋体" w:hint="eastAsia"/>
          <w:kern w:val="0"/>
          <w:sz w:val="28"/>
          <w:szCs w:val="28"/>
        </w:rPr>
        <w:t>次会议，审议通过了《关于使用</w:t>
      </w:r>
      <w:r w:rsidR="00C200B0">
        <w:rPr>
          <w:rFonts w:ascii="宋体" w:hAnsi="Calibri" w:cs="宋体" w:hint="eastAsia"/>
          <w:kern w:val="0"/>
          <w:sz w:val="28"/>
          <w:szCs w:val="28"/>
        </w:rPr>
        <w:t>部分</w:t>
      </w:r>
      <w:r w:rsidRPr="00CA699E">
        <w:rPr>
          <w:rFonts w:ascii="宋体" w:hAnsi="Calibri" w:cs="宋体" w:hint="eastAsia"/>
          <w:kern w:val="0"/>
          <w:sz w:val="28"/>
          <w:szCs w:val="28"/>
        </w:rPr>
        <w:t>闲置募集资金暂时补充流动资金的议案》，同意公司及全资子公司在确保不影响募集资金投资项目实施及募集资金使用的情况下，使用不超过人民币</w:t>
      </w:r>
      <w:r w:rsidR="00AA3B25">
        <w:rPr>
          <w:rFonts w:ascii="宋体" w:hAnsi="Calibri" w:cs="宋体"/>
          <w:kern w:val="0"/>
          <w:sz w:val="28"/>
          <w:szCs w:val="28"/>
        </w:rPr>
        <w:t>5</w:t>
      </w:r>
      <w:r w:rsidRPr="00CA699E">
        <w:rPr>
          <w:rFonts w:ascii="宋体" w:hAnsi="Calibri" w:cs="宋体" w:hint="eastAsia"/>
          <w:kern w:val="0"/>
          <w:sz w:val="28"/>
          <w:szCs w:val="28"/>
        </w:rPr>
        <w:t>,</w:t>
      </w:r>
      <w:r w:rsidR="00F91A3B">
        <w:rPr>
          <w:rFonts w:ascii="宋体" w:hAnsi="Calibri" w:cs="宋体"/>
          <w:kern w:val="0"/>
          <w:sz w:val="28"/>
          <w:szCs w:val="28"/>
        </w:rPr>
        <w:t>5</w:t>
      </w:r>
      <w:r w:rsidRPr="00CA699E">
        <w:rPr>
          <w:rFonts w:ascii="宋体" w:hAnsi="Calibri" w:cs="宋体" w:hint="eastAsia"/>
          <w:kern w:val="0"/>
          <w:sz w:val="28"/>
          <w:szCs w:val="28"/>
        </w:rPr>
        <w:t>00万元的闲置募集资金暂时补充流动资金</w:t>
      </w:r>
      <w:r w:rsidR="00E059E6">
        <w:rPr>
          <w:rFonts w:ascii="宋体" w:hAnsi="Calibri" w:cs="宋体" w:hint="eastAsia"/>
          <w:kern w:val="0"/>
          <w:sz w:val="28"/>
          <w:szCs w:val="28"/>
        </w:rPr>
        <w:t>，</w:t>
      </w:r>
      <w:r w:rsidRPr="00CA699E">
        <w:rPr>
          <w:rFonts w:ascii="宋体" w:hAnsi="Calibri" w:cs="宋体" w:hint="eastAsia"/>
          <w:kern w:val="0"/>
          <w:sz w:val="28"/>
          <w:szCs w:val="28"/>
        </w:rPr>
        <w:t>使用期限自公司董事会审议通过之日起不超过12个月。公司履行的审批程序符合相关法律法规规定，符合监管部门的相关监管要求。</w:t>
      </w:r>
    </w:p>
    <w:p w14:paraId="53781A4A" w14:textId="24B54FF2" w:rsidR="003A6799" w:rsidRPr="00A24A63" w:rsidRDefault="001E5750" w:rsidP="00A51B23">
      <w:pPr>
        <w:autoSpaceDE w:val="0"/>
        <w:autoSpaceDN w:val="0"/>
        <w:adjustRightInd w:val="0"/>
        <w:spacing w:line="360" w:lineRule="auto"/>
        <w:ind w:firstLineChars="200" w:firstLine="562"/>
        <w:jc w:val="left"/>
        <w:rPr>
          <w:rFonts w:ascii="宋体" w:hAnsi="Calibri" w:cs="宋体"/>
          <w:b/>
          <w:kern w:val="0"/>
          <w:sz w:val="28"/>
          <w:szCs w:val="28"/>
        </w:rPr>
      </w:pPr>
      <w:r>
        <w:rPr>
          <w:rFonts w:ascii="宋体" w:hAnsi="Calibri" w:cs="宋体" w:hint="eastAsia"/>
          <w:b/>
          <w:kern w:val="0"/>
          <w:sz w:val="28"/>
          <w:szCs w:val="28"/>
        </w:rPr>
        <w:t>六</w:t>
      </w:r>
      <w:r w:rsidR="003A6799" w:rsidRPr="00A24A63">
        <w:rPr>
          <w:rFonts w:ascii="宋体" w:hAnsi="Calibri" w:cs="宋体" w:hint="eastAsia"/>
          <w:b/>
          <w:kern w:val="0"/>
          <w:sz w:val="28"/>
          <w:szCs w:val="28"/>
        </w:rPr>
        <w:t>、</w:t>
      </w:r>
      <w:r w:rsidR="003A6799" w:rsidRPr="00A24A63">
        <w:rPr>
          <w:rFonts w:ascii="宋体" w:hAnsi="Calibri" w:cs="宋体"/>
          <w:b/>
          <w:kern w:val="0"/>
          <w:sz w:val="28"/>
          <w:szCs w:val="28"/>
        </w:rPr>
        <w:t xml:space="preserve"> </w:t>
      </w:r>
      <w:r w:rsidR="003A6799" w:rsidRPr="00A24A63">
        <w:rPr>
          <w:rFonts w:ascii="宋体" w:hAnsi="Calibri" w:cs="宋体" w:hint="eastAsia"/>
          <w:b/>
          <w:kern w:val="0"/>
          <w:sz w:val="28"/>
          <w:szCs w:val="28"/>
        </w:rPr>
        <w:t>专项意见说明</w:t>
      </w:r>
    </w:p>
    <w:p w14:paraId="345ABA29" w14:textId="7C6A8091" w:rsidR="00CA699E" w:rsidRPr="00CA699E" w:rsidRDefault="00CA699E" w:rsidP="00A51B23">
      <w:pPr>
        <w:autoSpaceDE w:val="0"/>
        <w:autoSpaceDN w:val="0"/>
        <w:adjustRightInd w:val="0"/>
        <w:spacing w:line="360" w:lineRule="auto"/>
        <w:ind w:firstLineChars="200" w:firstLine="560"/>
        <w:jc w:val="left"/>
        <w:rPr>
          <w:rFonts w:ascii="宋体" w:hAnsi="Calibri" w:cs="宋体"/>
          <w:kern w:val="0"/>
          <w:sz w:val="28"/>
          <w:szCs w:val="28"/>
        </w:rPr>
      </w:pPr>
      <w:r w:rsidRPr="00CA699E">
        <w:rPr>
          <w:rFonts w:ascii="宋体" w:hAnsi="Calibri" w:cs="宋体" w:hint="eastAsia"/>
          <w:kern w:val="0"/>
          <w:sz w:val="28"/>
          <w:szCs w:val="28"/>
        </w:rPr>
        <w:t>（</w:t>
      </w:r>
      <w:r w:rsidR="00AA3B25">
        <w:rPr>
          <w:rFonts w:ascii="宋体" w:hAnsi="Calibri" w:cs="宋体" w:hint="eastAsia"/>
          <w:kern w:val="0"/>
          <w:sz w:val="28"/>
          <w:szCs w:val="28"/>
        </w:rPr>
        <w:t>一</w:t>
      </w:r>
      <w:r w:rsidRPr="00CA699E">
        <w:rPr>
          <w:rFonts w:ascii="宋体" w:hAnsi="Calibri" w:cs="宋体" w:hint="eastAsia"/>
          <w:kern w:val="0"/>
          <w:sz w:val="28"/>
          <w:szCs w:val="28"/>
        </w:rPr>
        <w:t xml:space="preserve">）监事会意见 </w:t>
      </w:r>
    </w:p>
    <w:p w14:paraId="405F0EDD" w14:textId="37954D55" w:rsidR="00513015" w:rsidRDefault="00CA699E" w:rsidP="00A51B23">
      <w:pPr>
        <w:autoSpaceDE w:val="0"/>
        <w:autoSpaceDN w:val="0"/>
        <w:adjustRightInd w:val="0"/>
        <w:spacing w:line="360" w:lineRule="auto"/>
        <w:ind w:firstLineChars="200" w:firstLine="560"/>
        <w:rPr>
          <w:rFonts w:ascii="宋体" w:hAnsi="Calibri" w:cs="宋体"/>
          <w:kern w:val="0"/>
          <w:sz w:val="28"/>
          <w:szCs w:val="28"/>
        </w:rPr>
      </w:pPr>
      <w:r w:rsidRPr="00CA699E">
        <w:rPr>
          <w:rFonts w:ascii="宋体" w:hAnsi="Calibri" w:cs="宋体" w:hint="eastAsia"/>
          <w:kern w:val="0"/>
          <w:sz w:val="28"/>
          <w:szCs w:val="28"/>
        </w:rPr>
        <w:t>监事会认为：</w:t>
      </w:r>
      <w:r w:rsidR="00583DF0" w:rsidRPr="00583DF0">
        <w:rPr>
          <w:rFonts w:ascii="宋体" w:hAnsi="Calibri" w:cs="宋体" w:hint="eastAsia"/>
          <w:kern w:val="0"/>
          <w:sz w:val="28"/>
          <w:szCs w:val="28"/>
        </w:rPr>
        <w:t>公司本次使用部分闲置募集资金暂时补充流动资金，可以满足公司生产经营对流动资金的需求，有利于提高闲置募集资金的使用效率，降低公司财务费用，符合公司及全体股东利益，符合相</w:t>
      </w:r>
      <w:r w:rsidR="00583DF0" w:rsidRPr="00583DF0">
        <w:rPr>
          <w:rFonts w:ascii="宋体" w:hAnsi="Calibri" w:cs="宋体" w:hint="eastAsia"/>
          <w:kern w:val="0"/>
          <w:sz w:val="28"/>
          <w:szCs w:val="28"/>
        </w:rPr>
        <w:lastRenderedPageBreak/>
        <w:t>关法律法规、规章及其他规范性文件的规定，不会影响募集资金投资项目的正常进行，不存在变相改变募集资金投向或损害股东利益的情况。</w:t>
      </w:r>
    </w:p>
    <w:p w14:paraId="19D6D1F2" w14:textId="7066A5F6" w:rsidR="003A6799" w:rsidRDefault="00513015" w:rsidP="00A51B23">
      <w:pPr>
        <w:autoSpaceDE w:val="0"/>
        <w:autoSpaceDN w:val="0"/>
        <w:adjustRightInd w:val="0"/>
        <w:spacing w:line="360" w:lineRule="auto"/>
        <w:ind w:firstLineChars="200" w:firstLine="560"/>
        <w:rPr>
          <w:rFonts w:ascii="宋体" w:hAnsi="Calibri" w:cs="宋体"/>
          <w:kern w:val="0"/>
          <w:sz w:val="28"/>
          <w:szCs w:val="28"/>
        </w:rPr>
      </w:pPr>
      <w:r w:rsidRPr="002B5E9E">
        <w:rPr>
          <w:rFonts w:ascii="宋体" w:hAnsi="Calibri" w:cs="宋体" w:hint="eastAsia"/>
          <w:kern w:val="0"/>
          <w:sz w:val="28"/>
          <w:szCs w:val="28"/>
        </w:rPr>
        <w:t>（</w:t>
      </w:r>
      <w:r w:rsidR="00AA3B25">
        <w:rPr>
          <w:rFonts w:ascii="宋体" w:hAnsi="Calibri" w:cs="宋体" w:hint="eastAsia"/>
          <w:kern w:val="0"/>
          <w:sz w:val="28"/>
          <w:szCs w:val="28"/>
        </w:rPr>
        <w:t>二</w:t>
      </w:r>
      <w:r w:rsidRPr="002B5E9E">
        <w:rPr>
          <w:rFonts w:ascii="宋体" w:hAnsi="Calibri" w:cs="宋体" w:hint="eastAsia"/>
          <w:kern w:val="0"/>
          <w:sz w:val="28"/>
          <w:szCs w:val="28"/>
        </w:rPr>
        <w:t>）保荐机构核查意见</w:t>
      </w:r>
    </w:p>
    <w:p w14:paraId="4AE8D12F" w14:textId="4722AF2B" w:rsidR="00923F57" w:rsidRPr="00923F57" w:rsidRDefault="00D33E4C" w:rsidP="00923F57">
      <w:pPr>
        <w:autoSpaceDE w:val="0"/>
        <w:autoSpaceDN w:val="0"/>
        <w:adjustRightInd w:val="0"/>
        <w:spacing w:line="360" w:lineRule="auto"/>
        <w:ind w:firstLineChars="200" w:firstLine="560"/>
        <w:rPr>
          <w:rFonts w:ascii="宋体" w:hAnsi="Calibri" w:cs="宋体"/>
          <w:kern w:val="0"/>
          <w:sz w:val="28"/>
          <w:szCs w:val="28"/>
        </w:rPr>
      </w:pPr>
      <w:r w:rsidRPr="00923F57">
        <w:rPr>
          <w:rFonts w:ascii="宋体" w:hAnsi="Calibri" w:cs="宋体" w:hint="eastAsia"/>
          <w:kern w:val="0"/>
          <w:sz w:val="28"/>
          <w:szCs w:val="28"/>
        </w:rPr>
        <w:t>财通</w:t>
      </w:r>
      <w:r w:rsidR="001310FE" w:rsidRPr="00923F57">
        <w:rPr>
          <w:rFonts w:ascii="宋体" w:hAnsi="Calibri" w:cs="宋体" w:hint="eastAsia"/>
          <w:kern w:val="0"/>
          <w:sz w:val="28"/>
          <w:szCs w:val="28"/>
        </w:rPr>
        <w:t>证券认为：</w:t>
      </w:r>
      <w:r w:rsidR="00923F57" w:rsidRPr="00923F57">
        <w:rPr>
          <w:rFonts w:ascii="宋体" w:hAnsi="Calibri" w:cs="宋体" w:hint="eastAsia"/>
          <w:kern w:val="0"/>
          <w:sz w:val="28"/>
          <w:szCs w:val="28"/>
        </w:rPr>
        <w:t>公司使用部分闲置募集资金暂时补充流动资金，有利于提高募集资金使用效率，降低公司财务费用，满足公司业务发展需求，不会影响公司募集资金投资项目的正常开展，不存在变相改变募集资金投向的情形。本次使用部分闲置募集资金暂时补充流动资金事项已经公司董事会、监事会审议批准，履行了必要的审批程序，符合相关法律、法规及公司制度的规定。</w:t>
      </w:r>
    </w:p>
    <w:p w14:paraId="03F48E81" w14:textId="60ADDA14" w:rsidR="00085AD4" w:rsidRDefault="00923F57" w:rsidP="00923F57">
      <w:pPr>
        <w:autoSpaceDE w:val="0"/>
        <w:autoSpaceDN w:val="0"/>
        <w:adjustRightInd w:val="0"/>
        <w:spacing w:line="360" w:lineRule="auto"/>
        <w:ind w:firstLineChars="200" w:firstLine="560"/>
        <w:rPr>
          <w:rFonts w:ascii="宋体" w:hAnsi="Calibri" w:cs="宋体"/>
          <w:kern w:val="0"/>
          <w:sz w:val="28"/>
          <w:szCs w:val="28"/>
        </w:rPr>
      </w:pPr>
      <w:r w:rsidRPr="00923F57">
        <w:rPr>
          <w:rFonts w:ascii="宋体" w:hAnsi="Calibri" w:cs="宋体" w:hint="eastAsia"/>
          <w:kern w:val="0"/>
          <w:sz w:val="28"/>
          <w:szCs w:val="28"/>
        </w:rPr>
        <w:t>综上，保荐机构对公司本次使用部分闲置募集资金暂时补充流动资金事项无异议。</w:t>
      </w:r>
    </w:p>
    <w:p w14:paraId="6D8946D1" w14:textId="5FB08AD3" w:rsidR="00513015" w:rsidRPr="00513015" w:rsidRDefault="001E5750" w:rsidP="00085AD4">
      <w:pPr>
        <w:autoSpaceDE w:val="0"/>
        <w:autoSpaceDN w:val="0"/>
        <w:adjustRightInd w:val="0"/>
        <w:spacing w:line="360" w:lineRule="auto"/>
        <w:ind w:firstLineChars="200" w:firstLine="562"/>
        <w:rPr>
          <w:rFonts w:ascii="宋体" w:hAnsi="Calibri" w:cs="宋体"/>
          <w:b/>
          <w:kern w:val="0"/>
          <w:sz w:val="28"/>
          <w:szCs w:val="28"/>
        </w:rPr>
      </w:pPr>
      <w:r>
        <w:rPr>
          <w:rFonts w:ascii="宋体" w:hAnsi="Calibri" w:cs="宋体" w:hint="eastAsia"/>
          <w:b/>
          <w:kern w:val="0"/>
          <w:sz w:val="28"/>
          <w:szCs w:val="28"/>
        </w:rPr>
        <w:t>七</w:t>
      </w:r>
      <w:bookmarkStart w:id="0" w:name="_GoBack"/>
      <w:bookmarkEnd w:id="0"/>
      <w:r w:rsidR="00513015" w:rsidRPr="00513015">
        <w:rPr>
          <w:rFonts w:ascii="宋体" w:hAnsi="Calibri" w:cs="宋体" w:hint="eastAsia"/>
          <w:b/>
          <w:kern w:val="0"/>
          <w:sz w:val="28"/>
          <w:szCs w:val="28"/>
        </w:rPr>
        <w:t xml:space="preserve">、上网公告附件  </w:t>
      </w:r>
    </w:p>
    <w:p w14:paraId="168D596E" w14:textId="7698DB33" w:rsidR="00513015" w:rsidRPr="00513015" w:rsidRDefault="00513015" w:rsidP="00A51B23">
      <w:pPr>
        <w:autoSpaceDE w:val="0"/>
        <w:autoSpaceDN w:val="0"/>
        <w:adjustRightInd w:val="0"/>
        <w:spacing w:line="360" w:lineRule="auto"/>
        <w:ind w:firstLineChars="200" w:firstLine="560"/>
        <w:rPr>
          <w:rFonts w:ascii="宋体" w:hAnsi="Calibri" w:cs="宋体"/>
          <w:kern w:val="0"/>
          <w:sz w:val="28"/>
          <w:szCs w:val="28"/>
        </w:rPr>
      </w:pPr>
      <w:r w:rsidRPr="00513015">
        <w:rPr>
          <w:rFonts w:ascii="宋体" w:hAnsi="Calibri" w:cs="宋体" w:hint="eastAsia"/>
          <w:kern w:val="0"/>
          <w:sz w:val="28"/>
          <w:szCs w:val="28"/>
        </w:rPr>
        <w:t>（</w:t>
      </w:r>
      <w:r w:rsidR="00AA3B25">
        <w:rPr>
          <w:rFonts w:ascii="宋体" w:hAnsi="Calibri" w:cs="宋体" w:hint="eastAsia"/>
          <w:kern w:val="0"/>
          <w:sz w:val="28"/>
          <w:szCs w:val="28"/>
        </w:rPr>
        <w:t>一</w:t>
      </w:r>
      <w:r w:rsidRPr="00513015">
        <w:rPr>
          <w:rFonts w:ascii="宋体" w:hAnsi="Calibri" w:cs="宋体" w:hint="eastAsia"/>
          <w:kern w:val="0"/>
          <w:sz w:val="28"/>
          <w:szCs w:val="28"/>
        </w:rPr>
        <w:t>）</w:t>
      </w:r>
      <w:r w:rsidR="00A34F5B">
        <w:rPr>
          <w:rFonts w:ascii="宋体" w:hAnsi="Calibri" w:cs="宋体" w:hint="eastAsia"/>
          <w:kern w:val="0"/>
          <w:sz w:val="28"/>
          <w:szCs w:val="28"/>
        </w:rPr>
        <w:t>《</w:t>
      </w:r>
      <w:r w:rsidR="00D33E4C">
        <w:rPr>
          <w:rFonts w:ascii="宋体" w:hAnsi="Calibri" w:cs="宋体" w:hint="eastAsia"/>
          <w:kern w:val="0"/>
          <w:sz w:val="28"/>
          <w:szCs w:val="28"/>
        </w:rPr>
        <w:t>财通</w:t>
      </w:r>
      <w:r w:rsidRPr="001310FE">
        <w:rPr>
          <w:rFonts w:ascii="宋体" w:hAnsi="Calibri" w:cs="宋体" w:hint="eastAsia"/>
          <w:kern w:val="0"/>
          <w:sz w:val="28"/>
          <w:szCs w:val="28"/>
        </w:rPr>
        <w:t>证券有限责任公司关于深圳市有方科技股份有限公司</w:t>
      </w:r>
      <w:r w:rsidR="001310FE" w:rsidRPr="001310FE">
        <w:rPr>
          <w:rFonts w:ascii="宋体" w:hAnsi="Calibri" w:cs="宋体" w:hint="eastAsia"/>
          <w:kern w:val="0"/>
          <w:sz w:val="28"/>
          <w:szCs w:val="28"/>
        </w:rPr>
        <w:t>使用部分闲置募集资金暂时补充流动资金</w:t>
      </w:r>
      <w:r w:rsidRPr="001310FE">
        <w:rPr>
          <w:rFonts w:ascii="宋体" w:hAnsi="Calibri" w:cs="宋体" w:hint="eastAsia"/>
          <w:kern w:val="0"/>
          <w:sz w:val="28"/>
          <w:szCs w:val="28"/>
        </w:rPr>
        <w:t>的核查意见</w:t>
      </w:r>
      <w:r w:rsidR="00A34F5B">
        <w:rPr>
          <w:rFonts w:ascii="宋体" w:hAnsi="Calibri" w:cs="宋体" w:hint="eastAsia"/>
          <w:kern w:val="0"/>
          <w:sz w:val="28"/>
          <w:szCs w:val="28"/>
        </w:rPr>
        <w:t>》。</w:t>
      </w:r>
    </w:p>
    <w:p w14:paraId="5AA1B835" w14:textId="02DE96C3" w:rsidR="00C828A8" w:rsidRPr="00A24A63" w:rsidRDefault="003A6799" w:rsidP="00A51B23">
      <w:pPr>
        <w:autoSpaceDE w:val="0"/>
        <w:autoSpaceDN w:val="0"/>
        <w:adjustRightInd w:val="0"/>
        <w:spacing w:line="360" w:lineRule="auto"/>
        <w:ind w:firstLineChars="200" w:firstLine="560"/>
        <w:jc w:val="left"/>
        <w:rPr>
          <w:rFonts w:ascii="宋体" w:hAnsi="Calibri" w:cs="宋体"/>
          <w:kern w:val="0"/>
          <w:sz w:val="28"/>
          <w:szCs w:val="28"/>
        </w:rPr>
      </w:pPr>
      <w:r w:rsidRPr="00A24A63">
        <w:rPr>
          <w:rFonts w:ascii="宋体" w:hAnsi="Calibri" w:cs="宋体" w:hint="eastAsia"/>
          <w:kern w:val="0"/>
          <w:sz w:val="28"/>
          <w:szCs w:val="28"/>
        </w:rPr>
        <w:t>特此公告。</w:t>
      </w:r>
    </w:p>
    <w:p w14:paraId="10980CBD" w14:textId="70A7F7B7" w:rsidR="003A6799" w:rsidRPr="00A24A63" w:rsidRDefault="00513015" w:rsidP="00A51B23">
      <w:pPr>
        <w:adjustRightInd w:val="0"/>
        <w:snapToGrid w:val="0"/>
        <w:spacing w:line="360" w:lineRule="auto"/>
        <w:ind w:firstLineChars="150" w:firstLine="420"/>
        <w:jc w:val="right"/>
        <w:rPr>
          <w:rFonts w:ascii="宋体" w:hAnsi="宋体"/>
          <w:sz w:val="28"/>
          <w:szCs w:val="28"/>
        </w:rPr>
      </w:pPr>
      <w:r>
        <w:rPr>
          <w:rFonts w:ascii="宋体" w:hAnsi="宋体" w:hint="eastAsia"/>
          <w:sz w:val="28"/>
          <w:szCs w:val="28"/>
        </w:rPr>
        <w:t>深圳市有方科技</w:t>
      </w:r>
      <w:r w:rsidR="003A6799" w:rsidRPr="00A24A63">
        <w:rPr>
          <w:rFonts w:ascii="宋体" w:hAnsi="宋体" w:hint="eastAsia"/>
          <w:sz w:val="28"/>
          <w:szCs w:val="28"/>
        </w:rPr>
        <w:t>股份有限公司董事会</w:t>
      </w:r>
    </w:p>
    <w:p w14:paraId="342D5E77" w14:textId="63B2F3FA" w:rsidR="003A6799" w:rsidRPr="00A24A63" w:rsidRDefault="00513015" w:rsidP="00A51B23">
      <w:pPr>
        <w:adjustRightInd w:val="0"/>
        <w:snapToGrid w:val="0"/>
        <w:spacing w:line="360" w:lineRule="auto"/>
        <w:ind w:firstLineChars="150" w:firstLine="420"/>
        <w:jc w:val="right"/>
        <w:rPr>
          <w:rFonts w:ascii="宋体" w:hAnsi="宋体"/>
          <w:sz w:val="28"/>
          <w:szCs w:val="28"/>
        </w:rPr>
      </w:pPr>
      <w:r>
        <w:rPr>
          <w:rFonts w:ascii="宋体" w:hAnsi="宋体" w:hint="eastAsia"/>
          <w:sz w:val="28"/>
          <w:szCs w:val="28"/>
        </w:rPr>
        <w:t>202</w:t>
      </w:r>
      <w:r w:rsidR="00AA3B25">
        <w:rPr>
          <w:rFonts w:ascii="宋体" w:hAnsi="宋体"/>
          <w:sz w:val="28"/>
          <w:szCs w:val="28"/>
        </w:rPr>
        <w:t>5</w:t>
      </w:r>
      <w:r w:rsidR="003A6799" w:rsidRPr="00A24A63">
        <w:rPr>
          <w:rFonts w:ascii="宋体" w:hAnsi="宋体" w:hint="eastAsia"/>
          <w:sz w:val="28"/>
          <w:szCs w:val="28"/>
        </w:rPr>
        <w:t>年</w:t>
      </w:r>
      <w:r w:rsidR="00572033">
        <w:rPr>
          <w:rFonts w:ascii="宋体" w:hAnsi="宋体"/>
          <w:sz w:val="28"/>
          <w:szCs w:val="28"/>
        </w:rPr>
        <w:t>3</w:t>
      </w:r>
      <w:r w:rsidR="003A6799" w:rsidRPr="00A24A63">
        <w:rPr>
          <w:rFonts w:ascii="宋体" w:hAnsi="宋体" w:hint="eastAsia"/>
          <w:sz w:val="28"/>
          <w:szCs w:val="28"/>
        </w:rPr>
        <w:t>月</w:t>
      </w:r>
      <w:r w:rsidR="006839BD">
        <w:rPr>
          <w:rFonts w:ascii="宋体" w:hAnsi="宋体"/>
          <w:sz w:val="28"/>
          <w:szCs w:val="28"/>
        </w:rPr>
        <w:t>1</w:t>
      </w:r>
      <w:r w:rsidR="00AA3B25">
        <w:rPr>
          <w:rFonts w:ascii="宋体" w:hAnsi="宋体"/>
          <w:sz w:val="28"/>
          <w:szCs w:val="28"/>
        </w:rPr>
        <w:t>3</w:t>
      </w:r>
      <w:r w:rsidR="003A6799" w:rsidRPr="00A24A63">
        <w:rPr>
          <w:rFonts w:ascii="宋体" w:hAnsi="宋体" w:hint="eastAsia"/>
          <w:sz w:val="28"/>
          <w:szCs w:val="28"/>
        </w:rPr>
        <w:t>日</w:t>
      </w:r>
    </w:p>
    <w:p w14:paraId="75344618" w14:textId="77777777" w:rsidR="00004DD7" w:rsidRPr="00A24A63" w:rsidRDefault="00004DD7" w:rsidP="00A51B23">
      <w:pPr>
        <w:spacing w:line="360" w:lineRule="auto"/>
        <w:rPr>
          <w:sz w:val="28"/>
          <w:szCs w:val="28"/>
        </w:rPr>
      </w:pPr>
    </w:p>
    <w:sectPr w:rsidR="00004DD7" w:rsidRPr="00A24A63" w:rsidSect="00004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2A79" w14:textId="77777777" w:rsidR="000E296D" w:rsidRDefault="000E296D" w:rsidP="00DD1146">
      <w:r>
        <w:separator/>
      </w:r>
    </w:p>
  </w:endnote>
  <w:endnote w:type="continuationSeparator" w:id="0">
    <w:p w14:paraId="19247D35" w14:textId="77777777" w:rsidR="000E296D" w:rsidRDefault="000E296D" w:rsidP="00DD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A353A" w14:textId="77777777" w:rsidR="000E296D" w:rsidRDefault="000E296D" w:rsidP="00DD1146">
      <w:r>
        <w:separator/>
      </w:r>
    </w:p>
  </w:footnote>
  <w:footnote w:type="continuationSeparator" w:id="0">
    <w:p w14:paraId="5A14023F" w14:textId="77777777" w:rsidR="000E296D" w:rsidRDefault="000E296D" w:rsidP="00DD1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C28FA"/>
    <w:multiLevelType w:val="hybridMultilevel"/>
    <w:tmpl w:val="C2F4AEBC"/>
    <w:lvl w:ilvl="0" w:tplc="7E12207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2">
    <w:nsid w:val="7ED21F62"/>
    <w:multiLevelType w:val="hybridMultilevel"/>
    <w:tmpl w:val="1254601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6799"/>
    <w:rsid w:val="00004DD7"/>
    <w:rsid w:val="0001651B"/>
    <w:rsid w:val="0004757B"/>
    <w:rsid w:val="000527E8"/>
    <w:rsid w:val="00067B21"/>
    <w:rsid w:val="00085AD4"/>
    <w:rsid w:val="000A5CCC"/>
    <w:rsid w:val="000B154F"/>
    <w:rsid w:val="000B37A7"/>
    <w:rsid w:val="000D33E0"/>
    <w:rsid w:val="000E296D"/>
    <w:rsid w:val="000E6EA3"/>
    <w:rsid w:val="00103C0F"/>
    <w:rsid w:val="00103C73"/>
    <w:rsid w:val="001160BA"/>
    <w:rsid w:val="00123E17"/>
    <w:rsid w:val="001310FE"/>
    <w:rsid w:val="00135599"/>
    <w:rsid w:val="001666D5"/>
    <w:rsid w:val="00194044"/>
    <w:rsid w:val="001A5C2B"/>
    <w:rsid w:val="001A7730"/>
    <w:rsid w:val="001C12DD"/>
    <w:rsid w:val="001C4F75"/>
    <w:rsid w:val="001E4184"/>
    <w:rsid w:val="001E5750"/>
    <w:rsid w:val="001F33C7"/>
    <w:rsid w:val="00210E5B"/>
    <w:rsid w:val="0023217C"/>
    <w:rsid w:val="002406A9"/>
    <w:rsid w:val="0025401E"/>
    <w:rsid w:val="00271087"/>
    <w:rsid w:val="00277148"/>
    <w:rsid w:val="002938AE"/>
    <w:rsid w:val="002A2028"/>
    <w:rsid w:val="002B5E9E"/>
    <w:rsid w:val="002E213A"/>
    <w:rsid w:val="002F4F9A"/>
    <w:rsid w:val="00307956"/>
    <w:rsid w:val="00347C36"/>
    <w:rsid w:val="003649EA"/>
    <w:rsid w:val="00371C43"/>
    <w:rsid w:val="003779AD"/>
    <w:rsid w:val="0039094E"/>
    <w:rsid w:val="003A3757"/>
    <w:rsid w:val="003A3C53"/>
    <w:rsid w:val="003A6799"/>
    <w:rsid w:val="003D0E74"/>
    <w:rsid w:val="003E0342"/>
    <w:rsid w:val="00410056"/>
    <w:rsid w:val="0041092D"/>
    <w:rsid w:val="00450B66"/>
    <w:rsid w:val="00451E22"/>
    <w:rsid w:val="00463E7D"/>
    <w:rsid w:val="004801B3"/>
    <w:rsid w:val="004A02A0"/>
    <w:rsid w:val="004A45A6"/>
    <w:rsid w:val="004D6142"/>
    <w:rsid w:val="00513015"/>
    <w:rsid w:val="00537E5F"/>
    <w:rsid w:val="005402B1"/>
    <w:rsid w:val="00566834"/>
    <w:rsid w:val="00572033"/>
    <w:rsid w:val="0058171E"/>
    <w:rsid w:val="005822B6"/>
    <w:rsid w:val="00583DF0"/>
    <w:rsid w:val="00590A10"/>
    <w:rsid w:val="0059790B"/>
    <w:rsid w:val="005D1BB5"/>
    <w:rsid w:val="00610FD4"/>
    <w:rsid w:val="006839BD"/>
    <w:rsid w:val="006D4057"/>
    <w:rsid w:val="006D43C2"/>
    <w:rsid w:val="006E4693"/>
    <w:rsid w:val="006E5C00"/>
    <w:rsid w:val="00702228"/>
    <w:rsid w:val="0072630C"/>
    <w:rsid w:val="00740BEB"/>
    <w:rsid w:val="0077530D"/>
    <w:rsid w:val="00786FD7"/>
    <w:rsid w:val="007D7F40"/>
    <w:rsid w:val="007E08B5"/>
    <w:rsid w:val="008066D8"/>
    <w:rsid w:val="00806EEE"/>
    <w:rsid w:val="008073C7"/>
    <w:rsid w:val="0084455A"/>
    <w:rsid w:val="00844859"/>
    <w:rsid w:val="00844DF3"/>
    <w:rsid w:val="00895939"/>
    <w:rsid w:val="008C76B5"/>
    <w:rsid w:val="008D0A44"/>
    <w:rsid w:val="00923F57"/>
    <w:rsid w:val="009325E8"/>
    <w:rsid w:val="009411F5"/>
    <w:rsid w:val="0094232C"/>
    <w:rsid w:val="00945B87"/>
    <w:rsid w:val="0095080C"/>
    <w:rsid w:val="00956623"/>
    <w:rsid w:val="00962DED"/>
    <w:rsid w:val="00984B6A"/>
    <w:rsid w:val="009A33F8"/>
    <w:rsid w:val="009B1FBE"/>
    <w:rsid w:val="009D197E"/>
    <w:rsid w:val="009E20B2"/>
    <w:rsid w:val="009E34FC"/>
    <w:rsid w:val="009F614B"/>
    <w:rsid w:val="009F61E2"/>
    <w:rsid w:val="009F681C"/>
    <w:rsid w:val="00A1746A"/>
    <w:rsid w:val="00A24A63"/>
    <w:rsid w:val="00A34F5B"/>
    <w:rsid w:val="00A40990"/>
    <w:rsid w:val="00A42153"/>
    <w:rsid w:val="00A51B23"/>
    <w:rsid w:val="00A83973"/>
    <w:rsid w:val="00A84D59"/>
    <w:rsid w:val="00AA3B25"/>
    <w:rsid w:val="00AC4C19"/>
    <w:rsid w:val="00AE1FE9"/>
    <w:rsid w:val="00AF0D82"/>
    <w:rsid w:val="00B07BC3"/>
    <w:rsid w:val="00B160A2"/>
    <w:rsid w:val="00B248E8"/>
    <w:rsid w:val="00B3237D"/>
    <w:rsid w:val="00B37248"/>
    <w:rsid w:val="00B578F5"/>
    <w:rsid w:val="00B71ABE"/>
    <w:rsid w:val="00B73516"/>
    <w:rsid w:val="00B964EC"/>
    <w:rsid w:val="00BE2018"/>
    <w:rsid w:val="00C10999"/>
    <w:rsid w:val="00C200B0"/>
    <w:rsid w:val="00C33861"/>
    <w:rsid w:val="00C57466"/>
    <w:rsid w:val="00C6148A"/>
    <w:rsid w:val="00C828A8"/>
    <w:rsid w:val="00CA699E"/>
    <w:rsid w:val="00CA78BB"/>
    <w:rsid w:val="00CE4253"/>
    <w:rsid w:val="00CE68BA"/>
    <w:rsid w:val="00D22F9E"/>
    <w:rsid w:val="00D27248"/>
    <w:rsid w:val="00D33E4C"/>
    <w:rsid w:val="00D35ADE"/>
    <w:rsid w:val="00D36389"/>
    <w:rsid w:val="00D54974"/>
    <w:rsid w:val="00DA3F75"/>
    <w:rsid w:val="00DB26B8"/>
    <w:rsid w:val="00DD1146"/>
    <w:rsid w:val="00DE19D2"/>
    <w:rsid w:val="00DE632D"/>
    <w:rsid w:val="00E059E6"/>
    <w:rsid w:val="00E41573"/>
    <w:rsid w:val="00E4570E"/>
    <w:rsid w:val="00E67A29"/>
    <w:rsid w:val="00E73C8B"/>
    <w:rsid w:val="00E74B26"/>
    <w:rsid w:val="00E92C62"/>
    <w:rsid w:val="00EA6DDC"/>
    <w:rsid w:val="00EC2243"/>
    <w:rsid w:val="00EC23ED"/>
    <w:rsid w:val="00ED12D6"/>
    <w:rsid w:val="00EE3B44"/>
    <w:rsid w:val="00F07EEF"/>
    <w:rsid w:val="00F36BEA"/>
    <w:rsid w:val="00F91A3B"/>
    <w:rsid w:val="00FA4581"/>
    <w:rsid w:val="00FA4CE6"/>
    <w:rsid w:val="00FB61B5"/>
    <w:rsid w:val="00FD20A1"/>
    <w:rsid w:val="00FD2128"/>
    <w:rsid w:val="00FD5092"/>
    <w:rsid w:val="00FF616E"/>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04A8"/>
  <w15:docId w15:val="{19AEFDED-AABA-40F4-9E1D-3039104B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3A6799"/>
    <w:pPr>
      <w:spacing w:before="240" w:after="60"/>
      <w:jc w:val="center"/>
      <w:outlineLvl w:val="0"/>
    </w:pPr>
    <w:rPr>
      <w:rFonts w:ascii="Cambria" w:hAnsi="Cambria"/>
      <w:b/>
      <w:bCs/>
      <w:sz w:val="32"/>
      <w:szCs w:val="32"/>
    </w:rPr>
  </w:style>
  <w:style w:type="character" w:customStyle="1" w:styleId="Char">
    <w:name w:val="标题 Char"/>
    <w:basedOn w:val="a0"/>
    <w:link w:val="a3"/>
    <w:rsid w:val="003A6799"/>
    <w:rPr>
      <w:rFonts w:ascii="Cambria" w:eastAsia="宋体" w:hAnsi="Cambria" w:cs="Times New Roman"/>
      <w:b/>
      <w:bCs/>
      <w:sz w:val="32"/>
      <w:szCs w:val="32"/>
    </w:rPr>
  </w:style>
  <w:style w:type="paragraph" w:styleId="a4">
    <w:name w:val="List Paragraph"/>
    <w:basedOn w:val="a"/>
    <w:uiPriority w:val="34"/>
    <w:qFormat/>
    <w:rsid w:val="007D7F40"/>
    <w:pPr>
      <w:ind w:firstLineChars="200" w:firstLine="420"/>
    </w:pPr>
  </w:style>
  <w:style w:type="character" w:customStyle="1" w:styleId="htd0">
    <w:name w:val="htd0"/>
    <w:rsid w:val="00A24A63"/>
  </w:style>
  <w:style w:type="table" w:styleId="a5">
    <w:name w:val="Table Grid"/>
    <w:basedOn w:val="a1"/>
    <w:uiPriority w:val="59"/>
    <w:unhideWhenUsed/>
    <w:rsid w:val="00EE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DD11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D1146"/>
    <w:rPr>
      <w:rFonts w:ascii="Times New Roman" w:eastAsia="宋体" w:hAnsi="Times New Roman" w:cs="Times New Roman"/>
      <w:sz w:val="18"/>
      <w:szCs w:val="18"/>
    </w:rPr>
  </w:style>
  <w:style w:type="paragraph" w:styleId="a7">
    <w:name w:val="footer"/>
    <w:basedOn w:val="a"/>
    <w:link w:val="Char1"/>
    <w:uiPriority w:val="99"/>
    <w:unhideWhenUsed/>
    <w:rsid w:val="00DD1146"/>
    <w:pPr>
      <w:tabs>
        <w:tab w:val="center" w:pos="4153"/>
        <w:tab w:val="right" w:pos="8306"/>
      </w:tabs>
      <w:snapToGrid w:val="0"/>
      <w:jc w:val="left"/>
    </w:pPr>
    <w:rPr>
      <w:sz w:val="18"/>
      <w:szCs w:val="18"/>
    </w:rPr>
  </w:style>
  <w:style w:type="character" w:customStyle="1" w:styleId="Char1">
    <w:name w:val="页脚 Char"/>
    <w:basedOn w:val="a0"/>
    <w:link w:val="a7"/>
    <w:uiPriority w:val="99"/>
    <w:rsid w:val="00DD1146"/>
    <w:rPr>
      <w:rFonts w:ascii="Times New Roman" w:eastAsia="宋体" w:hAnsi="Times New Roman" w:cs="Times New Roman"/>
      <w:sz w:val="18"/>
      <w:szCs w:val="18"/>
    </w:rPr>
  </w:style>
  <w:style w:type="paragraph" w:styleId="a8">
    <w:name w:val="Balloon Text"/>
    <w:basedOn w:val="a"/>
    <w:link w:val="Char2"/>
    <w:uiPriority w:val="99"/>
    <w:semiHidden/>
    <w:unhideWhenUsed/>
    <w:rsid w:val="00B160A2"/>
    <w:rPr>
      <w:sz w:val="18"/>
      <w:szCs w:val="18"/>
    </w:rPr>
  </w:style>
  <w:style w:type="character" w:customStyle="1" w:styleId="Char2">
    <w:name w:val="批注框文本 Char"/>
    <w:basedOn w:val="a0"/>
    <w:link w:val="a8"/>
    <w:uiPriority w:val="99"/>
    <w:semiHidden/>
    <w:rsid w:val="00B160A2"/>
    <w:rPr>
      <w:rFonts w:ascii="Times New Roman" w:eastAsia="宋体" w:hAnsi="Times New Roman" w:cs="Times New Roman"/>
      <w:sz w:val="18"/>
      <w:szCs w:val="18"/>
    </w:rPr>
  </w:style>
  <w:style w:type="character" w:styleId="a9">
    <w:name w:val="annotation reference"/>
    <w:basedOn w:val="a0"/>
    <w:qFormat/>
    <w:rsid w:val="00E4157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58923">
      <w:bodyDiv w:val="1"/>
      <w:marLeft w:val="0"/>
      <w:marRight w:val="0"/>
      <w:marTop w:val="0"/>
      <w:marBottom w:val="0"/>
      <w:divBdr>
        <w:top w:val="none" w:sz="0" w:space="0" w:color="auto"/>
        <w:left w:val="none" w:sz="0" w:space="0" w:color="auto"/>
        <w:bottom w:val="none" w:sz="0" w:space="0" w:color="auto"/>
        <w:right w:val="none" w:sz="0" w:space="0" w:color="auto"/>
      </w:divBdr>
    </w:div>
    <w:div w:id="656423570">
      <w:bodyDiv w:val="1"/>
      <w:marLeft w:val="0"/>
      <w:marRight w:val="0"/>
      <w:marTop w:val="0"/>
      <w:marBottom w:val="0"/>
      <w:divBdr>
        <w:top w:val="none" w:sz="0" w:space="0" w:color="auto"/>
        <w:left w:val="none" w:sz="0" w:space="0" w:color="auto"/>
        <w:bottom w:val="none" w:sz="0" w:space="0" w:color="auto"/>
        <w:right w:val="none" w:sz="0" w:space="0" w:color="auto"/>
      </w:divBdr>
    </w:div>
    <w:div w:id="1855146704">
      <w:bodyDiv w:val="1"/>
      <w:marLeft w:val="0"/>
      <w:marRight w:val="0"/>
      <w:marTop w:val="0"/>
      <w:marBottom w:val="0"/>
      <w:divBdr>
        <w:top w:val="none" w:sz="0" w:space="0" w:color="auto"/>
        <w:left w:val="none" w:sz="0" w:space="0" w:color="auto"/>
        <w:bottom w:val="none" w:sz="0" w:space="0" w:color="auto"/>
        <w:right w:val="none" w:sz="0" w:space="0" w:color="auto"/>
      </w:divBdr>
    </w:div>
    <w:div w:id="193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F1A8-CE30-4202-AC4C-A6F685DF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434</Words>
  <Characters>2476</Characters>
  <Application>Microsoft Office Word</Application>
  <DocSecurity>0</DocSecurity>
  <Lines>20</Lines>
  <Paragraphs>5</Paragraphs>
  <ScaleCrop>false</ScaleCrop>
  <Company>sse</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郑妍</cp:lastModifiedBy>
  <cp:revision>141</cp:revision>
  <dcterms:created xsi:type="dcterms:W3CDTF">2013-06-28T07:56:00Z</dcterms:created>
  <dcterms:modified xsi:type="dcterms:W3CDTF">2025-03-12T02:09:00Z</dcterms:modified>
</cp:coreProperties>
</file>