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76427" w14:textId="5AC18C8B" w:rsidR="00FA443F" w:rsidRPr="00A65006" w:rsidRDefault="00FA443F" w:rsidP="00FA443F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_Toc359483103"/>
      <w:r w:rsidRPr="00A65006">
        <w:rPr>
          <w:rFonts w:ascii="黑体" w:eastAsia="黑体" w:hAnsi="黑体" w:hint="eastAsia"/>
          <w:b/>
          <w:bCs/>
          <w:sz w:val="28"/>
          <w:szCs w:val="28"/>
        </w:rPr>
        <w:t>证券代码：688159</w:t>
      </w:r>
      <w:r w:rsidR="00A65006">
        <w:rPr>
          <w:rFonts w:ascii="黑体" w:eastAsia="黑体" w:hAnsi="黑体"/>
          <w:b/>
          <w:bCs/>
          <w:sz w:val="28"/>
          <w:szCs w:val="28"/>
        </w:rPr>
        <w:t xml:space="preserve">     </w:t>
      </w:r>
      <w:r w:rsidRPr="00A65006">
        <w:rPr>
          <w:rFonts w:ascii="黑体" w:eastAsia="黑体" w:hAnsi="黑体" w:hint="eastAsia"/>
          <w:b/>
          <w:bCs/>
          <w:sz w:val="28"/>
          <w:szCs w:val="28"/>
        </w:rPr>
        <w:t>证券简称：有方科技</w:t>
      </w:r>
      <w:r w:rsidR="00A65006">
        <w:rPr>
          <w:rFonts w:ascii="黑体" w:eastAsia="黑体" w:hAnsi="黑体"/>
          <w:b/>
          <w:bCs/>
          <w:sz w:val="28"/>
          <w:szCs w:val="28"/>
        </w:rPr>
        <w:t xml:space="preserve">     </w:t>
      </w:r>
      <w:r w:rsidRPr="00A65006">
        <w:rPr>
          <w:rFonts w:ascii="黑体" w:eastAsia="黑体" w:hAnsi="黑体" w:hint="eastAsia"/>
          <w:b/>
          <w:bCs/>
          <w:sz w:val="28"/>
          <w:szCs w:val="28"/>
        </w:rPr>
        <w:t>公告编号：</w:t>
      </w:r>
      <w:r w:rsidR="004277C5">
        <w:rPr>
          <w:rFonts w:ascii="黑体" w:eastAsia="黑体" w:hAnsi="黑体" w:hint="eastAsia"/>
          <w:b/>
          <w:bCs/>
          <w:sz w:val="28"/>
          <w:szCs w:val="28"/>
        </w:rPr>
        <w:t>2025</w:t>
      </w:r>
      <w:r w:rsidR="0004503A" w:rsidRPr="00936C74">
        <w:rPr>
          <w:rFonts w:ascii="黑体" w:eastAsia="黑体" w:hAnsi="黑体"/>
          <w:b/>
          <w:bCs/>
          <w:sz w:val="28"/>
          <w:szCs w:val="28"/>
        </w:rPr>
        <w:t>-</w:t>
      </w:r>
      <w:r w:rsidR="00E220DB" w:rsidRPr="00E220DB">
        <w:rPr>
          <w:rFonts w:ascii="黑体" w:eastAsia="黑体" w:hAnsi="黑体"/>
          <w:b/>
          <w:bCs/>
          <w:sz w:val="28"/>
          <w:szCs w:val="28"/>
        </w:rPr>
        <w:t>0</w:t>
      </w:r>
      <w:r w:rsidR="00E220DB">
        <w:rPr>
          <w:rFonts w:ascii="黑体" w:eastAsia="黑体" w:hAnsi="黑体"/>
          <w:b/>
          <w:bCs/>
          <w:sz w:val="28"/>
          <w:szCs w:val="28"/>
        </w:rPr>
        <w:t>23</w:t>
      </w:r>
    </w:p>
    <w:bookmarkEnd w:id="0"/>
    <w:p w14:paraId="0979F6BA" w14:textId="77777777" w:rsidR="00683FCB" w:rsidRPr="00040CCC" w:rsidRDefault="00683FCB" w:rsidP="00683FC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26FAE6C8" w14:textId="77777777" w:rsidR="00FA443F" w:rsidRPr="00040CCC" w:rsidRDefault="00FA443F" w:rsidP="0033276F">
      <w:pPr>
        <w:tabs>
          <w:tab w:val="num" w:pos="900"/>
        </w:tabs>
        <w:adjustRightInd w:val="0"/>
        <w:snapToGrid w:val="0"/>
        <w:jc w:val="center"/>
        <w:rPr>
          <w:rFonts w:ascii="黑体" w:eastAsia="黑体" w:hAnsi="黑体"/>
          <w:b/>
          <w:sz w:val="44"/>
          <w:szCs w:val="44"/>
        </w:rPr>
      </w:pPr>
      <w:r w:rsidRPr="00040CCC">
        <w:rPr>
          <w:rFonts w:ascii="黑体" w:eastAsia="黑体" w:hAnsi="黑体" w:hint="eastAsia"/>
          <w:b/>
          <w:sz w:val="44"/>
          <w:szCs w:val="44"/>
        </w:rPr>
        <w:t>深圳市有方科技股份有限公司</w:t>
      </w:r>
    </w:p>
    <w:p w14:paraId="02745CC1" w14:textId="4B71AEB1" w:rsidR="00946A78" w:rsidRDefault="004277C5" w:rsidP="0033276F">
      <w:pPr>
        <w:tabs>
          <w:tab w:val="num" w:pos="900"/>
        </w:tabs>
        <w:adjustRightInd w:val="0"/>
        <w:snapToGrid w:val="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2024</w:t>
      </w:r>
      <w:r w:rsidR="0004503A">
        <w:rPr>
          <w:rFonts w:ascii="黑体" w:eastAsia="黑体" w:hAnsi="黑体" w:hint="eastAsia"/>
          <w:b/>
          <w:sz w:val="44"/>
          <w:szCs w:val="44"/>
        </w:rPr>
        <w:t>年</w:t>
      </w:r>
      <w:r w:rsidR="00C40E04">
        <w:rPr>
          <w:rFonts w:ascii="黑体" w:eastAsia="黑体" w:hAnsi="黑体" w:hint="eastAsia"/>
          <w:b/>
          <w:sz w:val="44"/>
          <w:szCs w:val="44"/>
        </w:rPr>
        <w:t>度</w:t>
      </w:r>
      <w:r w:rsidR="00946A78" w:rsidRPr="00040CCC">
        <w:rPr>
          <w:rFonts w:ascii="黑体" w:eastAsia="黑体" w:hAnsi="黑体" w:hint="eastAsia"/>
          <w:b/>
          <w:sz w:val="44"/>
          <w:szCs w:val="44"/>
        </w:rPr>
        <w:t>利润分配方案的公告</w:t>
      </w:r>
    </w:p>
    <w:p w14:paraId="1B05F569" w14:textId="77777777" w:rsidR="00A65006" w:rsidRPr="00040CCC" w:rsidRDefault="00A65006" w:rsidP="00A65006">
      <w:pPr>
        <w:tabs>
          <w:tab w:val="num" w:pos="900"/>
        </w:tabs>
        <w:adjustRightInd w:val="0"/>
        <w:snapToGrid w:val="0"/>
        <w:ind w:firstLineChars="200" w:firstLine="480"/>
        <w:jc w:val="center"/>
        <w:rPr>
          <w:rFonts w:ascii="宋体" w:hAnsi="宋体"/>
          <w:color w:val="000000"/>
          <w:sz w:val="24"/>
        </w:rPr>
      </w:pPr>
    </w:p>
    <w:p w14:paraId="45170046" w14:textId="77777777" w:rsidR="00683FCB" w:rsidRPr="00040CCC" w:rsidRDefault="00683FCB" w:rsidP="00FA443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40CCC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1E72650F" w14:textId="77777777" w:rsidR="00683FCB" w:rsidRPr="00040CCC" w:rsidRDefault="00683FCB" w:rsidP="00683FCB">
      <w:pPr>
        <w:adjustRightInd w:val="0"/>
        <w:snapToGrid w:val="0"/>
        <w:spacing w:line="520" w:lineRule="exact"/>
        <w:rPr>
          <w:rFonts w:ascii="仿宋_GB2312" w:eastAsia="仿宋_GB2312"/>
          <w:b/>
          <w:sz w:val="28"/>
        </w:rPr>
      </w:pPr>
    </w:p>
    <w:p w14:paraId="259BC2F2" w14:textId="77777777" w:rsidR="00683FCB" w:rsidRPr="00040CCC" w:rsidRDefault="00683FCB" w:rsidP="00683FCB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14:paraId="6392973A" w14:textId="77777777" w:rsidR="00683FCB" w:rsidRPr="00040CCC" w:rsidRDefault="00683FCB" w:rsidP="00683FCB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firstLineChars="200" w:firstLine="562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040CC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重要内容提示：</w:t>
      </w:r>
    </w:p>
    <w:p w14:paraId="38094B2D" w14:textId="2F0FF1A2" w:rsidR="00946A78" w:rsidRPr="00040CCC" w:rsidRDefault="00A65006" w:rsidP="00F8614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深圳市有方科技</w:t>
      </w:r>
      <w:r w:rsidRPr="00A65006">
        <w:rPr>
          <w:rFonts w:ascii="宋体" w:hAnsi="宋体" w:cs="宋体" w:hint="eastAsia"/>
          <w:color w:val="000000"/>
          <w:kern w:val="0"/>
          <w:sz w:val="28"/>
          <w:szCs w:val="28"/>
        </w:rPr>
        <w:t>股份有限公司（以下简称“公司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A65006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="004277C5">
        <w:rPr>
          <w:rFonts w:ascii="宋体" w:hAnsi="宋体" w:cs="宋体" w:hint="eastAsia"/>
          <w:color w:val="000000"/>
          <w:kern w:val="0"/>
          <w:sz w:val="28"/>
          <w:szCs w:val="28"/>
        </w:rPr>
        <w:t>2024</w:t>
      </w:r>
      <w:r w:rsidRPr="00A65006">
        <w:rPr>
          <w:rFonts w:ascii="宋体" w:hAnsi="宋体" w:cs="宋体" w:hint="eastAsia"/>
          <w:color w:val="000000"/>
          <w:kern w:val="0"/>
          <w:sz w:val="28"/>
          <w:szCs w:val="28"/>
        </w:rPr>
        <w:t>年度利润分配方案为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8614E"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以实施权益分派股权登记日登记的总股本为基数，具体日期将在权益分派实施公告中明确</w:t>
      </w:r>
      <w:r w:rsidR="00F8614E">
        <w:rPr>
          <w:rFonts w:ascii="宋体" w:hAnsi="宋体" w:cs="宋体" w:hint="eastAsia"/>
          <w:color w:val="000000"/>
          <w:kern w:val="0"/>
          <w:sz w:val="28"/>
          <w:szCs w:val="28"/>
        </w:rPr>
        <w:t>，向全体股东</w:t>
      </w:r>
      <w:r w:rsidR="004277C5" w:rsidRPr="004277C5">
        <w:rPr>
          <w:rFonts w:ascii="宋体" w:hAnsi="宋体" w:cs="宋体" w:hint="eastAsia"/>
          <w:color w:val="000000"/>
          <w:kern w:val="0"/>
          <w:sz w:val="28"/>
          <w:szCs w:val="28"/>
        </w:rPr>
        <w:t>每10股派发现金红利1元（含税），不送股、不以资本公积转增股本</w:t>
      </w:r>
      <w:r w:rsidRPr="00A6500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7CF4CF4C" w14:textId="1522FDB0" w:rsidR="00A65006" w:rsidRPr="00F25D17" w:rsidRDefault="00F8614E" w:rsidP="00F8614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如</w:t>
      </w: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在实施权益分派的股权登记日前公司总股本发生变动的，拟维持分配总额不变，相应调整每股分配</w:t>
      </w:r>
      <w:bookmarkStart w:id="1" w:name="_GoBack"/>
      <w:bookmarkEnd w:id="1"/>
      <w:r w:rsidR="00C63BDA">
        <w:rPr>
          <w:rFonts w:ascii="宋体" w:hAnsi="宋体" w:cs="宋体" w:hint="eastAsia"/>
          <w:color w:val="000000"/>
          <w:kern w:val="0"/>
          <w:sz w:val="28"/>
          <w:szCs w:val="28"/>
        </w:rPr>
        <w:t>金额</w:t>
      </w: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，并将另行公告具体调整情况。</w:t>
      </w:r>
    </w:p>
    <w:p w14:paraId="1B6128A5" w14:textId="7FB3A5AD" w:rsidR="000222D8" w:rsidRPr="00F25D17" w:rsidRDefault="00F8614E" w:rsidP="00F8614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本次利润分配方案不会触及《上海证券交易所科创板股票上市规则》第12.9.1条第一款第（八）项规定的可能被实施其他风险警示的情形。</w:t>
      </w:r>
    </w:p>
    <w:p w14:paraId="7CB7C915" w14:textId="77777777" w:rsidR="00C75844" w:rsidRPr="00C75844" w:rsidRDefault="00C75844" w:rsidP="00C75844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</w:p>
    <w:p w14:paraId="46246903" w14:textId="77777777" w:rsidR="00683FCB" w:rsidRPr="00040CCC" w:rsidRDefault="00683FCB" w:rsidP="00A62BC5">
      <w:pPr>
        <w:adjustRightInd w:val="0"/>
        <w:snapToGrid w:val="0"/>
        <w:spacing w:beforeLines="50" w:before="156" w:line="360" w:lineRule="auto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040CCC">
        <w:rPr>
          <w:rFonts w:ascii="宋体" w:hAnsi="宋体" w:hint="eastAsia"/>
          <w:b/>
          <w:color w:val="000000"/>
          <w:sz w:val="28"/>
          <w:szCs w:val="28"/>
        </w:rPr>
        <w:t>一、</w:t>
      </w:r>
      <w:r w:rsidR="00946A78" w:rsidRPr="00040CCC">
        <w:rPr>
          <w:rFonts w:ascii="宋体" w:hAnsi="宋体" w:hint="eastAsia"/>
          <w:b/>
          <w:color w:val="000000"/>
          <w:sz w:val="28"/>
          <w:szCs w:val="28"/>
        </w:rPr>
        <w:t>利润分配方案内容</w:t>
      </w:r>
    </w:p>
    <w:p w14:paraId="16D00DB7" w14:textId="501CD2DD" w:rsidR="000915B3" w:rsidRDefault="00C802A7" w:rsidP="00A62BC5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)</w:t>
      </w:r>
      <w:r w:rsidR="000915B3">
        <w:rPr>
          <w:rFonts w:ascii="宋体" w:hAnsi="宋体" w:cs="宋体" w:hint="eastAsia"/>
          <w:color w:val="000000"/>
          <w:kern w:val="0"/>
          <w:sz w:val="28"/>
          <w:szCs w:val="28"/>
        </w:rPr>
        <w:t>本次利润分配的方案</w:t>
      </w:r>
    </w:p>
    <w:p w14:paraId="1A49F05D" w14:textId="61213173" w:rsidR="009D5414" w:rsidRPr="009D5414" w:rsidRDefault="00965767" w:rsidP="00A62BC5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784B69">
        <w:rPr>
          <w:rFonts w:ascii="宋体" w:hAnsi="宋体" w:cs="宋体" w:hint="eastAsia"/>
          <w:color w:val="000000"/>
          <w:kern w:val="0"/>
          <w:sz w:val="28"/>
          <w:szCs w:val="28"/>
        </w:rPr>
        <w:t>经</w:t>
      </w:r>
      <w:r w:rsidR="004277C5">
        <w:rPr>
          <w:rFonts w:ascii="宋体" w:hAnsi="宋体" w:cs="宋体" w:hint="eastAsia"/>
          <w:color w:val="000000"/>
          <w:kern w:val="0"/>
          <w:sz w:val="28"/>
          <w:szCs w:val="28"/>
        </w:rPr>
        <w:t>立信中联</w:t>
      </w:r>
      <w:r w:rsidR="00946A78" w:rsidRPr="00784B69">
        <w:rPr>
          <w:rFonts w:ascii="宋体" w:hAnsi="宋体" w:cs="宋体" w:hint="eastAsia"/>
          <w:color w:val="000000"/>
          <w:kern w:val="0"/>
          <w:sz w:val="28"/>
          <w:szCs w:val="28"/>
        </w:rPr>
        <w:t>会计师事务所（特殊普通合伙）审计，</w:t>
      </w:r>
      <w:r w:rsidR="00A65006" w:rsidRPr="00784B69">
        <w:rPr>
          <w:rFonts w:ascii="宋体" w:hAnsi="宋体" w:cs="宋体" w:hint="eastAsia"/>
          <w:color w:val="000000"/>
          <w:kern w:val="0"/>
          <w:sz w:val="28"/>
          <w:szCs w:val="28"/>
        </w:rPr>
        <w:t>公司</w:t>
      </w:r>
      <w:r w:rsidR="004277C5">
        <w:rPr>
          <w:rFonts w:ascii="宋体" w:hAnsi="宋体" w:cs="宋体" w:hint="eastAsia"/>
          <w:color w:val="000000"/>
          <w:kern w:val="0"/>
          <w:sz w:val="28"/>
          <w:szCs w:val="28"/>
        </w:rPr>
        <w:t>2024</w:t>
      </w:r>
      <w:r w:rsidR="0004503A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A65006" w:rsidRPr="00784B69">
        <w:rPr>
          <w:rFonts w:ascii="宋体" w:hAnsi="宋体" w:cs="宋体" w:hint="eastAsia"/>
          <w:color w:val="000000"/>
          <w:kern w:val="0"/>
          <w:sz w:val="28"/>
          <w:szCs w:val="28"/>
        </w:rPr>
        <w:t>度实现归</w:t>
      </w:r>
      <w:r w:rsidR="00A65006" w:rsidRPr="00FD0C8E">
        <w:rPr>
          <w:rFonts w:ascii="宋体" w:hAnsi="宋体" w:cs="宋体" w:hint="eastAsia"/>
          <w:color w:val="000000"/>
          <w:kern w:val="0"/>
          <w:sz w:val="28"/>
          <w:szCs w:val="28"/>
        </w:rPr>
        <w:t>属于上市公司股</w:t>
      </w:r>
      <w:r w:rsidR="00A65006" w:rsidRPr="00061C87">
        <w:rPr>
          <w:rFonts w:ascii="宋体" w:hAnsi="宋体" w:cs="宋体" w:hint="eastAsia"/>
          <w:color w:val="000000"/>
          <w:kern w:val="0"/>
          <w:sz w:val="28"/>
          <w:szCs w:val="28"/>
        </w:rPr>
        <w:t>东</w:t>
      </w:r>
      <w:r w:rsidR="00A65006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的净利润为</w:t>
      </w:r>
      <w:r w:rsidR="00582E02" w:rsidRPr="00582E02">
        <w:rPr>
          <w:rFonts w:ascii="宋体" w:hAnsi="宋体" w:cs="宋体"/>
          <w:color w:val="000000"/>
          <w:kern w:val="0"/>
          <w:sz w:val="28"/>
          <w:szCs w:val="28"/>
        </w:rPr>
        <w:t>10,024.63</w:t>
      </w:r>
      <w:r w:rsidR="007F5004" w:rsidRPr="006D11CF">
        <w:rPr>
          <w:rFonts w:ascii="宋体" w:hAnsi="宋体" w:hint="eastAsia"/>
          <w:sz w:val="28"/>
          <w:szCs w:val="28"/>
        </w:rPr>
        <w:t>万元，</w:t>
      </w:r>
      <w:r w:rsidR="007F5004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母公司实现净</w:t>
      </w:r>
      <w:r w:rsidR="007F5004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利润</w:t>
      </w:r>
      <w:r w:rsidR="00582E02" w:rsidRPr="00582E02">
        <w:rPr>
          <w:rFonts w:ascii="宋体" w:hAnsi="宋体" w:cs="宋体"/>
          <w:color w:val="000000"/>
          <w:kern w:val="0"/>
          <w:sz w:val="28"/>
          <w:szCs w:val="28"/>
        </w:rPr>
        <w:t>10,458.22</w:t>
      </w:r>
      <w:r w:rsidR="00D25896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万</w:t>
      </w:r>
      <w:r w:rsidR="007F5004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元。截至</w:t>
      </w:r>
      <w:r w:rsidR="004277C5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2024</w:t>
      </w:r>
      <w:r w:rsidR="0004503A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7F5004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12月31日，合并报表累计未分配利润为</w:t>
      </w:r>
      <w:r w:rsidR="00582E02" w:rsidRPr="00582E02">
        <w:rPr>
          <w:rFonts w:ascii="宋体" w:hAnsi="宋体" w:cs="宋体"/>
          <w:color w:val="000000"/>
          <w:kern w:val="0"/>
          <w:sz w:val="28"/>
          <w:szCs w:val="28"/>
        </w:rPr>
        <w:t>4,022.08</w:t>
      </w:r>
      <w:r w:rsidR="00D25896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万</w:t>
      </w:r>
      <w:r w:rsidR="007F5004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元，母公司的累计未分配利润为</w:t>
      </w:r>
      <w:r w:rsidR="00582E02" w:rsidRPr="00582E02">
        <w:rPr>
          <w:rFonts w:ascii="宋体" w:hAnsi="宋体" w:cs="宋体"/>
          <w:color w:val="000000"/>
          <w:kern w:val="0"/>
          <w:sz w:val="28"/>
          <w:szCs w:val="28"/>
        </w:rPr>
        <w:t>10,324.76</w:t>
      </w:r>
      <w:r w:rsidR="00D25896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万</w:t>
      </w:r>
      <w:r w:rsidR="007F5004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元。</w:t>
      </w:r>
      <w:r w:rsidR="009D5414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经公司</w:t>
      </w:r>
      <w:r w:rsidR="009D5414">
        <w:rPr>
          <w:rFonts w:ascii="宋体" w:hAnsi="宋体" w:cs="宋体" w:hint="eastAsia"/>
          <w:color w:val="000000"/>
          <w:kern w:val="0"/>
          <w:sz w:val="28"/>
          <w:szCs w:val="28"/>
        </w:rPr>
        <w:t>第四届</w:t>
      </w:r>
      <w:r w:rsidR="009D5414" w:rsidRPr="009D5414">
        <w:rPr>
          <w:rFonts w:ascii="宋体" w:hAnsi="宋体" w:cs="宋体" w:hint="eastAsia"/>
          <w:color w:val="000000"/>
          <w:kern w:val="0"/>
          <w:sz w:val="28"/>
          <w:szCs w:val="28"/>
        </w:rPr>
        <w:t>董事会</w:t>
      </w:r>
      <w:r w:rsidR="009D5414">
        <w:rPr>
          <w:rFonts w:ascii="宋体" w:hAnsi="宋体" w:cs="宋体" w:hint="eastAsia"/>
          <w:color w:val="000000"/>
          <w:kern w:val="0"/>
          <w:sz w:val="28"/>
          <w:szCs w:val="28"/>
        </w:rPr>
        <w:t>第五次</w:t>
      </w:r>
      <w:r w:rsidR="009D5414" w:rsidRPr="009D5414">
        <w:rPr>
          <w:rFonts w:ascii="宋体" w:hAnsi="宋体" w:cs="宋体" w:hint="eastAsia"/>
          <w:color w:val="000000"/>
          <w:kern w:val="0"/>
          <w:sz w:val="28"/>
          <w:szCs w:val="28"/>
        </w:rPr>
        <w:t>决议</w:t>
      </w:r>
      <w:r w:rsidR="009D5414">
        <w:rPr>
          <w:rFonts w:ascii="宋体" w:hAnsi="宋体" w:cs="宋体" w:hint="eastAsia"/>
          <w:color w:val="000000"/>
          <w:kern w:val="0"/>
          <w:sz w:val="28"/>
          <w:szCs w:val="28"/>
        </w:rPr>
        <w:t>、第四届监事会第四次会议审议通过</w:t>
      </w:r>
      <w:r w:rsidR="009D5414" w:rsidRPr="009D5414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F8614E"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公司2024年度拟以实施权益分派股权登记日登记的总股本为基数分配利润。</w:t>
      </w:r>
      <w:r w:rsidR="00F8614E">
        <w:rPr>
          <w:rFonts w:ascii="宋体" w:hAnsi="宋体" w:cs="宋体" w:hint="eastAsia"/>
          <w:color w:val="000000"/>
          <w:kern w:val="0"/>
          <w:sz w:val="28"/>
          <w:szCs w:val="28"/>
        </w:rPr>
        <w:t>本次利润分配方案如下</w:t>
      </w:r>
      <w:r w:rsidR="009D5414" w:rsidRPr="009D5414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14:paraId="734E6127" w14:textId="3BE9FB8E" w:rsidR="00F8614E" w:rsidRPr="00F8614E" w:rsidRDefault="009D5414" w:rsidP="00A62BC5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D5414">
        <w:rPr>
          <w:rFonts w:ascii="宋体" w:hAnsi="宋体" w:cs="宋体" w:hint="eastAsia"/>
          <w:color w:val="000000"/>
          <w:kern w:val="0"/>
          <w:sz w:val="28"/>
          <w:szCs w:val="28"/>
        </w:rPr>
        <w:t>1.</w:t>
      </w:r>
      <w:r w:rsidR="00F8614E"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本年度公司归属于上市公司股东的净利润为</w:t>
      </w:r>
      <w:r w:rsidR="00B73DBE" w:rsidRPr="00B73DBE">
        <w:rPr>
          <w:rFonts w:ascii="宋体" w:hAnsi="宋体" w:cs="宋体"/>
          <w:color w:val="000000"/>
          <w:kern w:val="0"/>
          <w:sz w:val="28"/>
          <w:szCs w:val="28"/>
        </w:rPr>
        <w:t xml:space="preserve">10,024.63 </w:t>
      </w:r>
      <w:r w:rsidR="00F8614E" w:rsidRPr="006D11CF">
        <w:rPr>
          <w:rFonts w:ascii="宋体" w:hAnsi="宋体" w:hint="eastAsia"/>
          <w:sz w:val="28"/>
          <w:szCs w:val="28"/>
        </w:rPr>
        <w:t>万元</w:t>
      </w:r>
      <w:r w:rsidR="00F8614E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，截至2025年3月31日，公司总股本</w:t>
      </w:r>
      <w:r w:rsidR="00F8614E" w:rsidRPr="006D11CF">
        <w:rPr>
          <w:rFonts w:ascii="宋体" w:hAnsi="宋体" w:cs="宋体"/>
          <w:color w:val="000000"/>
          <w:kern w:val="0"/>
          <w:sz w:val="28"/>
          <w:szCs w:val="28"/>
        </w:rPr>
        <w:t>91,994,495</w:t>
      </w:r>
      <w:r w:rsidR="00F8614E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股，拟向全体股东每10股派发现金红利</w:t>
      </w:r>
      <w:r w:rsidR="00F8614E" w:rsidRPr="006D11CF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F8614E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元（含税），以此计算合计拟派发现金红利</w:t>
      </w:r>
      <w:r w:rsidR="00F8614E" w:rsidRPr="006D11CF">
        <w:rPr>
          <w:rFonts w:ascii="宋体" w:hAnsi="宋体" w:cs="宋体"/>
          <w:color w:val="000000"/>
          <w:kern w:val="0"/>
          <w:sz w:val="28"/>
          <w:szCs w:val="28"/>
        </w:rPr>
        <w:t>9,199,4</w:t>
      </w:r>
      <w:r w:rsidR="00A577F3" w:rsidRPr="006D11CF">
        <w:rPr>
          <w:rFonts w:ascii="宋体" w:hAnsi="宋体" w:cs="宋体"/>
          <w:color w:val="000000"/>
          <w:kern w:val="0"/>
          <w:sz w:val="28"/>
          <w:szCs w:val="28"/>
        </w:rPr>
        <w:t>49.5</w:t>
      </w:r>
      <w:r w:rsidR="00C63BDA">
        <w:rPr>
          <w:rFonts w:ascii="宋体" w:hAnsi="宋体" w:cs="宋体"/>
          <w:color w:val="000000"/>
          <w:kern w:val="0"/>
          <w:sz w:val="28"/>
          <w:szCs w:val="28"/>
        </w:rPr>
        <w:t>0</w:t>
      </w:r>
      <w:r w:rsidR="00F8614E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元（含税），占本年度归属于上市公司股东净利润的比例</w:t>
      </w:r>
      <w:r w:rsidR="00A902BF" w:rsidRPr="006D11CF">
        <w:rPr>
          <w:rFonts w:ascii="宋体" w:hAnsi="宋体" w:cs="宋体"/>
          <w:color w:val="000000"/>
          <w:kern w:val="0"/>
          <w:sz w:val="28"/>
          <w:szCs w:val="28"/>
        </w:rPr>
        <w:t>9.</w:t>
      </w:r>
      <w:r w:rsidR="00B73DBE">
        <w:rPr>
          <w:rFonts w:ascii="宋体" w:hAnsi="宋体" w:cs="宋体"/>
          <w:color w:val="000000"/>
          <w:kern w:val="0"/>
          <w:sz w:val="28"/>
          <w:szCs w:val="28"/>
        </w:rPr>
        <w:t>18</w:t>
      </w:r>
      <w:r w:rsidR="00F8614E" w:rsidRPr="006D11CF">
        <w:rPr>
          <w:rFonts w:ascii="宋体" w:hAnsi="宋体" w:cs="宋体" w:hint="eastAsia"/>
          <w:color w:val="000000"/>
          <w:kern w:val="0"/>
          <w:sz w:val="28"/>
          <w:szCs w:val="28"/>
        </w:rPr>
        <w:t>%。</w:t>
      </w:r>
    </w:p>
    <w:p w14:paraId="7E003F29" w14:textId="5172ECBB" w:rsidR="00F8614E" w:rsidRPr="00F8614E" w:rsidRDefault="00F8614E" w:rsidP="00A62BC5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如在2024年度利润分配方案披露之日起至实施权益分派股权登记日期间，因股权激励</w:t>
      </w:r>
      <w:r w:rsidR="00985D46">
        <w:rPr>
          <w:rFonts w:ascii="宋体" w:hAnsi="宋体" w:cs="宋体" w:hint="eastAsia"/>
          <w:color w:val="000000"/>
          <w:kern w:val="0"/>
          <w:sz w:val="28"/>
          <w:szCs w:val="28"/>
        </w:rPr>
        <w:t>已</w:t>
      </w: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授予股份</w:t>
      </w:r>
      <w:r w:rsidR="00985D46">
        <w:rPr>
          <w:rFonts w:ascii="宋体" w:hAnsi="宋体" w:cs="宋体" w:hint="eastAsia"/>
          <w:color w:val="000000"/>
          <w:kern w:val="0"/>
          <w:sz w:val="28"/>
          <w:szCs w:val="28"/>
        </w:rPr>
        <w:t>发生</w:t>
      </w: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回购注销</w:t>
      </w:r>
      <w:r w:rsidR="00985D46">
        <w:rPr>
          <w:rFonts w:ascii="宋体" w:hAnsi="宋体" w:cs="宋体" w:hint="eastAsia"/>
          <w:color w:val="000000"/>
          <w:kern w:val="0"/>
          <w:sz w:val="28"/>
          <w:szCs w:val="28"/>
        </w:rPr>
        <w:t>或归属</w:t>
      </w: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等致使公司总股本发生变动的，公司拟维持分配总额不变，相应调整每股分配</w:t>
      </w:r>
      <w:r w:rsidR="00C63BDA">
        <w:rPr>
          <w:rFonts w:ascii="宋体" w:hAnsi="宋体" w:cs="宋体" w:hint="eastAsia"/>
          <w:color w:val="000000"/>
          <w:kern w:val="0"/>
          <w:sz w:val="28"/>
          <w:szCs w:val="28"/>
        </w:rPr>
        <w:t>金额</w:t>
      </w: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。如后续总股本发生变化，将另行公告具体调整情况。</w:t>
      </w:r>
    </w:p>
    <w:p w14:paraId="14DE9C1A" w14:textId="42987837" w:rsidR="00F8614E" w:rsidRDefault="00F8614E" w:rsidP="00A62BC5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本次利润分配方案尚需提交公司2024年</w:t>
      </w:r>
      <w:r w:rsidR="00DC5447"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度股东大会审议。</w:t>
      </w:r>
    </w:p>
    <w:p w14:paraId="609EEBB5" w14:textId="28BF9D5E" w:rsidR="00C802A7" w:rsidRDefault="00C802A7" w:rsidP="00A62BC5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(二)</w:t>
      </w:r>
      <w:r w:rsidRPr="00C802A7">
        <w:rPr>
          <w:rFonts w:ascii="宋体" w:hAnsi="宋体" w:cs="宋体" w:hint="eastAsia"/>
          <w:color w:val="000000"/>
          <w:kern w:val="0"/>
          <w:sz w:val="28"/>
          <w:szCs w:val="28"/>
        </w:rPr>
        <w:t>是否可能触及其他风险警示情形</w:t>
      </w:r>
    </w:p>
    <w:p w14:paraId="33A72B7A" w14:textId="4554ED34" w:rsidR="00C802A7" w:rsidRDefault="00C802A7" w:rsidP="00A62BC5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C802A7">
        <w:rPr>
          <w:rFonts w:ascii="宋体" w:hAnsi="宋体" w:cs="宋体" w:hint="eastAsia"/>
          <w:color w:val="000000"/>
          <w:kern w:val="0"/>
          <w:sz w:val="28"/>
          <w:szCs w:val="28"/>
        </w:rPr>
        <w:t>本次利润分配符合相关法律法规及公司章程的规定，不触及《科创板股票上市规则》第12.9.1条第一款第（八）项规定的可能被实施其他风险警示的情形，相关数据及指标如下表：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025"/>
        <w:gridCol w:w="2131"/>
        <w:gridCol w:w="2131"/>
      </w:tblGrid>
      <w:tr w:rsidR="00C802A7" w:rsidRPr="00152614" w14:paraId="575D7636" w14:textId="77777777" w:rsidTr="00A62BC5">
        <w:trPr>
          <w:trHeight w:val="397"/>
          <w:jc w:val="center"/>
        </w:trPr>
        <w:tc>
          <w:tcPr>
            <w:tcW w:w="2235" w:type="dxa"/>
            <w:vAlign w:val="bottom"/>
          </w:tcPr>
          <w:p w14:paraId="23B2DA67" w14:textId="3A84E4EB" w:rsidR="00C802A7" w:rsidRPr="00A62BC5" w:rsidRDefault="00C802A7" w:rsidP="00A62BC5">
            <w:pPr>
              <w:jc w:val="center"/>
              <w:rPr>
                <w:b/>
                <w:sz w:val="24"/>
              </w:rPr>
            </w:pPr>
            <w:r w:rsidRPr="00A62BC5"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2025" w:type="dxa"/>
            <w:vAlign w:val="bottom"/>
          </w:tcPr>
          <w:p w14:paraId="1F7158A4" w14:textId="6F35000C" w:rsidR="00C802A7" w:rsidRPr="00A62BC5" w:rsidRDefault="00C802A7" w:rsidP="00A62BC5">
            <w:pPr>
              <w:jc w:val="center"/>
              <w:rPr>
                <w:b/>
                <w:sz w:val="24"/>
              </w:rPr>
            </w:pPr>
            <w:r w:rsidRPr="00A62BC5">
              <w:rPr>
                <w:b/>
                <w:sz w:val="24"/>
              </w:rPr>
              <w:t>202</w:t>
            </w:r>
            <w:r w:rsidR="006F5DAB" w:rsidRPr="00A62BC5">
              <w:rPr>
                <w:b/>
                <w:sz w:val="24"/>
              </w:rPr>
              <w:t>2</w:t>
            </w:r>
            <w:r w:rsidRPr="00A62BC5">
              <w:rPr>
                <w:rFonts w:hint="eastAsia"/>
                <w:b/>
                <w:sz w:val="24"/>
              </w:rPr>
              <w:t>年度</w:t>
            </w:r>
          </w:p>
        </w:tc>
        <w:tc>
          <w:tcPr>
            <w:tcW w:w="2131" w:type="dxa"/>
            <w:vAlign w:val="bottom"/>
          </w:tcPr>
          <w:p w14:paraId="5A626065" w14:textId="5B018627" w:rsidR="00C802A7" w:rsidRPr="00A62BC5" w:rsidRDefault="00C802A7" w:rsidP="00A62BC5">
            <w:pPr>
              <w:jc w:val="center"/>
              <w:rPr>
                <w:b/>
                <w:sz w:val="24"/>
              </w:rPr>
            </w:pPr>
            <w:r w:rsidRPr="00A62BC5">
              <w:rPr>
                <w:b/>
                <w:sz w:val="24"/>
              </w:rPr>
              <w:t>2023</w:t>
            </w:r>
            <w:r w:rsidRPr="00A62BC5">
              <w:rPr>
                <w:rFonts w:hint="eastAsia"/>
                <w:b/>
                <w:sz w:val="24"/>
              </w:rPr>
              <w:t>年度</w:t>
            </w:r>
          </w:p>
        </w:tc>
        <w:tc>
          <w:tcPr>
            <w:tcW w:w="2131" w:type="dxa"/>
            <w:vAlign w:val="bottom"/>
          </w:tcPr>
          <w:p w14:paraId="0B18F436" w14:textId="0F1A9385" w:rsidR="00C802A7" w:rsidRPr="00A62BC5" w:rsidRDefault="00C802A7" w:rsidP="00A62BC5">
            <w:pPr>
              <w:jc w:val="center"/>
              <w:rPr>
                <w:b/>
                <w:sz w:val="24"/>
              </w:rPr>
            </w:pPr>
            <w:r w:rsidRPr="00A62BC5">
              <w:rPr>
                <w:b/>
                <w:sz w:val="24"/>
              </w:rPr>
              <w:t>202</w:t>
            </w:r>
            <w:r w:rsidR="006F5DAB" w:rsidRPr="00A62BC5">
              <w:rPr>
                <w:b/>
                <w:sz w:val="24"/>
              </w:rPr>
              <w:t>4</w:t>
            </w:r>
            <w:r w:rsidRPr="00A62BC5">
              <w:rPr>
                <w:rFonts w:hint="eastAsia"/>
                <w:b/>
                <w:sz w:val="24"/>
              </w:rPr>
              <w:t>年度</w:t>
            </w:r>
          </w:p>
        </w:tc>
      </w:tr>
      <w:tr w:rsidR="00C802A7" w:rsidRPr="00152614" w14:paraId="54B4427C" w14:textId="77777777" w:rsidTr="006D11CF">
        <w:trPr>
          <w:trHeight w:val="397"/>
          <w:jc w:val="center"/>
        </w:trPr>
        <w:tc>
          <w:tcPr>
            <w:tcW w:w="2235" w:type="dxa"/>
            <w:vAlign w:val="bottom"/>
          </w:tcPr>
          <w:p w14:paraId="378CD11B" w14:textId="7EB5CFFB" w:rsidR="00C802A7" w:rsidRPr="00B440AD" w:rsidRDefault="00C802A7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现金分红总额（元）</w:t>
            </w:r>
          </w:p>
        </w:tc>
        <w:tc>
          <w:tcPr>
            <w:tcW w:w="2025" w:type="dxa"/>
            <w:vAlign w:val="center"/>
          </w:tcPr>
          <w:p w14:paraId="303ECA55" w14:textId="1A96C956" w:rsidR="00C802A7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0</w:t>
            </w:r>
          </w:p>
        </w:tc>
        <w:tc>
          <w:tcPr>
            <w:tcW w:w="2131" w:type="dxa"/>
            <w:vAlign w:val="center"/>
          </w:tcPr>
          <w:p w14:paraId="73E4EA54" w14:textId="25B6AE74" w:rsidR="00C802A7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0</w:t>
            </w:r>
          </w:p>
        </w:tc>
        <w:tc>
          <w:tcPr>
            <w:tcW w:w="2131" w:type="dxa"/>
            <w:vAlign w:val="center"/>
          </w:tcPr>
          <w:p w14:paraId="2FFE9559" w14:textId="3A87AFAE" w:rsidR="00C802A7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9,199,449.5</w:t>
            </w:r>
          </w:p>
        </w:tc>
      </w:tr>
      <w:tr w:rsidR="00C802A7" w:rsidRPr="00152614" w14:paraId="1D843114" w14:textId="77777777" w:rsidTr="006D11CF">
        <w:trPr>
          <w:trHeight w:val="397"/>
          <w:jc w:val="center"/>
        </w:trPr>
        <w:tc>
          <w:tcPr>
            <w:tcW w:w="2235" w:type="dxa"/>
            <w:vAlign w:val="bottom"/>
          </w:tcPr>
          <w:p w14:paraId="22677002" w14:textId="33958089" w:rsidR="00C802A7" w:rsidRPr="00B440AD" w:rsidRDefault="00C802A7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回购注销总额（元）</w:t>
            </w:r>
          </w:p>
        </w:tc>
        <w:tc>
          <w:tcPr>
            <w:tcW w:w="2025" w:type="dxa"/>
            <w:vAlign w:val="center"/>
          </w:tcPr>
          <w:p w14:paraId="7540B1D9" w14:textId="7B6C1F2C" w:rsidR="00C802A7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0</w:t>
            </w:r>
          </w:p>
        </w:tc>
        <w:tc>
          <w:tcPr>
            <w:tcW w:w="2131" w:type="dxa"/>
            <w:vAlign w:val="center"/>
          </w:tcPr>
          <w:p w14:paraId="4DF3C9B7" w14:textId="7DF4DAE2" w:rsidR="00C802A7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0</w:t>
            </w:r>
          </w:p>
        </w:tc>
        <w:tc>
          <w:tcPr>
            <w:tcW w:w="2131" w:type="dxa"/>
            <w:vAlign w:val="center"/>
          </w:tcPr>
          <w:p w14:paraId="1C8E634D" w14:textId="357E12B4" w:rsidR="00C802A7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0</w:t>
            </w:r>
          </w:p>
        </w:tc>
      </w:tr>
      <w:tr w:rsidR="00A902BF" w:rsidRPr="00152614" w14:paraId="667534AD" w14:textId="77777777" w:rsidTr="006D11CF">
        <w:trPr>
          <w:trHeight w:val="397"/>
          <w:jc w:val="center"/>
        </w:trPr>
        <w:tc>
          <w:tcPr>
            <w:tcW w:w="2235" w:type="dxa"/>
            <w:vAlign w:val="bottom"/>
          </w:tcPr>
          <w:p w14:paraId="735B9744" w14:textId="13BC446E" w:rsidR="00A902BF" w:rsidRPr="00B440AD" w:rsidRDefault="00A902BF" w:rsidP="00A902BF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归属于上市公司股东的净利润（元）</w:t>
            </w:r>
          </w:p>
        </w:tc>
        <w:tc>
          <w:tcPr>
            <w:tcW w:w="2025" w:type="dxa"/>
            <w:vAlign w:val="center"/>
          </w:tcPr>
          <w:p w14:paraId="1BC70517" w14:textId="234B4E5F" w:rsidR="00A902BF" w:rsidRPr="00B440AD" w:rsidRDefault="00A902B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-56,531,893.74</w:t>
            </w:r>
          </w:p>
        </w:tc>
        <w:tc>
          <w:tcPr>
            <w:tcW w:w="2131" w:type="dxa"/>
            <w:vAlign w:val="center"/>
          </w:tcPr>
          <w:p w14:paraId="3D1B00B9" w14:textId="7C9F150B" w:rsidR="00A902BF" w:rsidRPr="00B440AD" w:rsidRDefault="00A902B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-38,431,553.37</w:t>
            </w:r>
          </w:p>
        </w:tc>
        <w:tc>
          <w:tcPr>
            <w:tcW w:w="2131" w:type="dxa"/>
            <w:vAlign w:val="center"/>
          </w:tcPr>
          <w:p w14:paraId="4FF789FB" w14:textId="7726425E" w:rsidR="00A902BF" w:rsidRPr="00B440AD" w:rsidRDefault="00296004" w:rsidP="006D11CF">
            <w:pPr>
              <w:jc w:val="center"/>
              <w:rPr>
                <w:rFonts w:eastAsiaTheme="minorEastAsia"/>
                <w:sz w:val="24"/>
              </w:rPr>
            </w:pPr>
            <w:r w:rsidRPr="00296004">
              <w:rPr>
                <w:rFonts w:eastAsiaTheme="minorEastAsia"/>
                <w:sz w:val="24"/>
              </w:rPr>
              <w:t>100,246,267.87</w:t>
            </w:r>
          </w:p>
        </w:tc>
      </w:tr>
      <w:tr w:rsidR="006F5DAB" w:rsidRPr="00152614" w14:paraId="6AE751CD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6B1763D8" w14:textId="3D31682E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母公司报表本年度末累计未分配利润（元）</w:t>
            </w:r>
          </w:p>
        </w:tc>
        <w:tc>
          <w:tcPr>
            <w:tcW w:w="2131" w:type="dxa"/>
            <w:vAlign w:val="center"/>
          </w:tcPr>
          <w:p w14:paraId="7B5E476E" w14:textId="11CCFDC6" w:rsidR="006F5DAB" w:rsidRPr="00B440AD" w:rsidRDefault="00296004" w:rsidP="006D11CF">
            <w:pPr>
              <w:jc w:val="center"/>
              <w:rPr>
                <w:rFonts w:eastAsiaTheme="minorEastAsia"/>
                <w:sz w:val="24"/>
              </w:rPr>
            </w:pPr>
            <w:r w:rsidRPr="00296004">
              <w:rPr>
                <w:rFonts w:eastAsiaTheme="minorEastAsia"/>
                <w:sz w:val="24"/>
              </w:rPr>
              <w:t>103,247,582.39</w:t>
            </w:r>
          </w:p>
        </w:tc>
      </w:tr>
      <w:tr w:rsidR="006F5DAB" w:rsidRPr="00152614" w14:paraId="68EDF33F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7E8635F9" w14:textId="4422CEE5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最近三个会计年度累计现金分红总额（元）</w:t>
            </w:r>
          </w:p>
        </w:tc>
        <w:tc>
          <w:tcPr>
            <w:tcW w:w="2131" w:type="dxa"/>
            <w:vAlign w:val="center"/>
          </w:tcPr>
          <w:p w14:paraId="7DD17E79" w14:textId="68467835" w:rsidR="006F5DAB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9,199,449.5</w:t>
            </w:r>
          </w:p>
        </w:tc>
      </w:tr>
      <w:tr w:rsidR="006F5DAB" w:rsidRPr="00152614" w14:paraId="4EB7847C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5C62944D" w14:textId="2FEC4A88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lastRenderedPageBreak/>
              <w:t>最近三个会计年度累计回购注销总额（元）</w:t>
            </w:r>
          </w:p>
        </w:tc>
        <w:tc>
          <w:tcPr>
            <w:tcW w:w="2131" w:type="dxa"/>
            <w:vAlign w:val="center"/>
          </w:tcPr>
          <w:p w14:paraId="4CE029FC" w14:textId="72545505" w:rsidR="006F5DAB" w:rsidRPr="00B440AD" w:rsidRDefault="00B440AD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0</w:t>
            </w:r>
          </w:p>
        </w:tc>
      </w:tr>
      <w:tr w:rsidR="006F5DAB" w:rsidRPr="00152614" w14:paraId="1CC019EE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3591E549" w14:textId="5124A011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最近三个会计年度平均净利润（元）</w:t>
            </w:r>
          </w:p>
        </w:tc>
        <w:tc>
          <w:tcPr>
            <w:tcW w:w="2131" w:type="dxa"/>
            <w:vAlign w:val="center"/>
          </w:tcPr>
          <w:p w14:paraId="391604BA" w14:textId="00303E85" w:rsidR="006F5DAB" w:rsidRPr="00B440AD" w:rsidRDefault="00296004" w:rsidP="006D11CF">
            <w:pPr>
              <w:jc w:val="center"/>
              <w:rPr>
                <w:rFonts w:eastAsiaTheme="minorEastAsia"/>
                <w:sz w:val="24"/>
              </w:rPr>
            </w:pPr>
            <w:r w:rsidRPr="00296004">
              <w:rPr>
                <w:rFonts w:eastAsiaTheme="minorEastAsia"/>
                <w:sz w:val="24"/>
              </w:rPr>
              <w:t>1,760,940.25</w:t>
            </w:r>
          </w:p>
        </w:tc>
      </w:tr>
      <w:tr w:rsidR="006F5DAB" w:rsidRPr="00152614" w14:paraId="1B21278A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0971B1EF" w14:textId="14C1F63E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最近三个会计年度累计现金分红及回购注销总额（元）</w:t>
            </w:r>
          </w:p>
        </w:tc>
        <w:tc>
          <w:tcPr>
            <w:tcW w:w="2131" w:type="dxa"/>
            <w:vAlign w:val="center"/>
          </w:tcPr>
          <w:p w14:paraId="69C3E47B" w14:textId="734A497C" w:rsidR="006F5DAB" w:rsidRPr="00B440AD" w:rsidRDefault="00B440AD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9,199,449.5</w:t>
            </w:r>
          </w:p>
        </w:tc>
      </w:tr>
      <w:tr w:rsidR="006F5DAB" w:rsidRPr="00152614" w14:paraId="47C23075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6B5F8806" w14:textId="584D748E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最近三个会计年度累计现金分红及回购注销总额是否低于</w:t>
            </w:r>
            <w:r w:rsidRPr="00B440AD">
              <w:rPr>
                <w:rFonts w:eastAsiaTheme="minorEastAsia"/>
                <w:sz w:val="24"/>
              </w:rPr>
              <w:t>3000</w:t>
            </w:r>
            <w:r w:rsidRPr="00B440AD">
              <w:rPr>
                <w:rFonts w:eastAsiaTheme="minorEastAsia"/>
                <w:sz w:val="24"/>
              </w:rPr>
              <w:t>万元</w:t>
            </w:r>
          </w:p>
        </w:tc>
        <w:tc>
          <w:tcPr>
            <w:tcW w:w="2131" w:type="dxa"/>
            <w:vAlign w:val="center"/>
          </w:tcPr>
          <w:p w14:paraId="4AF22D57" w14:textId="03F203C6" w:rsidR="006F5DAB" w:rsidRPr="00B440AD" w:rsidRDefault="00B440AD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是</w:t>
            </w:r>
          </w:p>
        </w:tc>
      </w:tr>
      <w:tr w:rsidR="006F5DAB" w:rsidRPr="00152614" w14:paraId="266D1B47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16755976" w14:textId="55DB2086" w:rsidR="006F5DAB" w:rsidRPr="00320D6F" w:rsidRDefault="006F5DAB" w:rsidP="00A62BC5">
            <w:pPr>
              <w:rPr>
                <w:rFonts w:eastAsiaTheme="minorEastAsia"/>
                <w:sz w:val="24"/>
              </w:rPr>
            </w:pPr>
            <w:r w:rsidRPr="00320D6F">
              <w:rPr>
                <w:rFonts w:eastAsiaTheme="minorEastAsia" w:hint="eastAsia"/>
                <w:sz w:val="24"/>
              </w:rPr>
              <w:t>现金分红比例（</w:t>
            </w:r>
            <w:r w:rsidRPr="00320D6F">
              <w:rPr>
                <w:rFonts w:eastAsiaTheme="minorEastAsia"/>
                <w:sz w:val="24"/>
              </w:rPr>
              <w:t>%</w:t>
            </w:r>
            <w:r w:rsidRPr="00320D6F">
              <w:rPr>
                <w:rFonts w:eastAsiaTheme="minorEastAsia" w:hint="eastAsia"/>
                <w:sz w:val="24"/>
              </w:rPr>
              <w:t>）</w:t>
            </w:r>
          </w:p>
        </w:tc>
        <w:tc>
          <w:tcPr>
            <w:tcW w:w="2131" w:type="dxa"/>
            <w:vAlign w:val="center"/>
          </w:tcPr>
          <w:p w14:paraId="2EF5CAAD" w14:textId="6A0E9940" w:rsidR="006F5DAB" w:rsidRPr="00AB5270" w:rsidRDefault="00AB5270" w:rsidP="006D11CF">
            <w:pPr>
              <w:jc w:val="center"/>
              <w:rPr>
                <w:rFonts w:eastAsiaTheme="minorEastAsia"/>
                <w:sz w:val="24"/>
              </w:rPr>
            </w:pPr>
            <w:r w:rsidRPr="00AB5270">
              <w:rPr>
                <w:rFonts w:eastAsiaTheme="minorEastAsia" w:hint="eastAsia"/>
                <w:sz w:val="24"/>
              </w:rPr>
              <w:t>5</w:t>
            </w:r>
            <w:r w:rsidRPr="00AB5270">
              <w:rPr>
                <w:rFonts w:eastAsiaTheme="minorEastAsia"/>
                <w:sz w:val="24"/>
              </w:rPr>
              <w:t>22.42</w:t>
            </w:r>
          </w:p>
        </w:tc>
      </w:tr>
      <w:tr w:rsidR="006F5DAB" w:rsidRPr="00152614" w14:paraId="526B17B0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58CC72BE" w14:textId="08A28073" w:rsidR="006F5DAB" w:rsidRPr="00320D6F" w:rsidRDefault="006F5DAB" w:rsidP="00A62BC5">
            <w:pPr>
              <w:rPr>
                <w:rFonts w:eastAsiaTheme="minorEastAsia"/>
                <w:sz w:val="24"/>
              </w:rPr>
            </w:pPr>
            <w:r w:rsidRPr="00320D6F">
              <w:rPr>
                <w:rFonts w:eastAsiaTheme="minorEastAsia" w:hint="eastAsia"/>
                <w:sz w:val="24"/>
              </w:rPr>
              <w:t>现金分红比例是否低于</w:t>
            </w:r>
            <w:r w:rsidRPr="00320D6F">
              <w:rPr>
                <w:rFonts w:eastAsiaTheme="minorEastAsia"/>
                <w:sz w:val="24"/>
              </w:rPr>
              <w:t>30%</w:t>
            </w:r>
          </w:p>
        </w:tc>
        <w:tc>
          <w:tcPr>
            <w:tcW w:w="2131" w:type="dxa"/>
            <w:vAlign w:val="center"/>
          </w:tcPr>
          <w:p w14:paraId="365ABF56" w14:textId="7E0048A4" w:rsidR="006F5DAB" w:rsidRPr="00AB5270" w:rsidRDefault="00AB5270" w:rsidP="006D11CF">
            <w:pPr>
              <w:jc w:val="center"/>
              <w:rPr>
                <w:rFonts w:eastAsiaTheme="minorEastAsia"/>
                <w:sz w:val="24"/>
              </w:rPr>
            </w:pPr>
            <w:r w:rsidRPr="00AB5270">
              <w:rPr>
                <w:rFonts w:eastAsiaTheme="minorEastAsia" w:hint="eastAsia"/>
                <w:sz w:val="24"/>
              </w:rPr>
              <w:t>否</w:t>
            </w:r>
          </w:p>
        </w:tc>
      </w:tr>
      <w:tr w:rsidR="006F5DAB" w:rsidRPr="00152614" w14:paraId="3AE738D1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1F412D61" w14:textId="783D6DE9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最近三个会计年度累计研发投入金额（元）</w:t>
            </w:r>
          </w:p>
        </w:tc>
        <w:tc>
          <w:tcPr>
            <w:tcW w:w="2131" w:type="dxa"/>
            <w:vAlign w:val="center"/>
          </w:tcPr>
          <w:p w14:paraId="22769963" w14:textId="721F4E1C" w:rsidR="006F5DAB" w:rsidRPr="00B440AD" w:rsidRDefault="00A902B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316,261,141.79</w:t>
            </w:r>
          </w:p>
        </w:tc>
      </w:tr>
      <w:tr w:rsidR="006F5DAB" w:rsidRPr="00152614" w14:paraId="0E181EC3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788A632E" w14:textId="135A9C7A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最近三个会计年度累计研发投入金额是否在</w:t>
            </w:r>
            <w:r w:rsidRPr="00B440AD">
              <w:rPr>
                <w:rFonts w:eastAsiaTheme="minorEastAsia"/>
                <w:sz w:val="24"/>
              </w:rPr>
              <w:t>3</w:t>
            </w:r>
            <w:r w:rsidRPr="00B440AD">
              <w:rPr>
                <w:rFonts w:eastAsiaTheme="minorEastAsia"/>
                <w:sz w:val="24"/>
              </w:rPr>
              <w:t>亿元以上</w:t>
            </w:r>
          </w:p>
        </w:tc>
        <w:tc>
          <w:tcPr>
            <w:tcW w:w="2131" w:type="dxa"/>
            <w:vAlign w:val="center"/>
          </w:tcPr>
          <w:p w14:paraId="700BC1D6" w14:textId="6BEFACF1" w:rsidR="006F5DAB" w:rsidRPr="00B440AD" w:rsidRDefault="00AB5270" w:rsidP="006D11CF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是</w:t>
            </w:r>
          </w:p>
        </w:tc>
      </w:tr>
      <w:tr w:rsidR="006F5DAB" w:rsidRPr="00152614" w14:paraId="7710667D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30ABF46C" w14:textId="2102C72E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最近三个会计年度累计营业收入（元）</w:t>
            </w:r>
          </w:p>
        </w:tc>
        <w:tc>
          <w:tcPr>
            <w:tcW w:w="2131" w:type="dxa"/>
            <w:vAlign w:val="center"/>
          </w:tcPr>
          <w:p w14:paraId="4FCC98D8" w14:textId="06EDE071" w:rsidR="006F5DAB" w:rsidRPr="00B440AD" w:rsidRDefault="00A902B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4,840,660,363.19</w:t>
            </w:r>
          </w:p>
        </w:tc>
      </w:tr>
      <w:tr w:rsidR="006F5DAB" w:rsidRPr="00152614" w14:paraId="05B8059B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164FFA74" w14:textId="2D8F9F46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最近三个会计年度累计研发投入占累计营业收入比例（</w:t>
            </w:r>
            <w:r w:rsidRPr="00B440AD">
              <w:rPr>
                <w:rFonts w:eastAsiaTheme="minorEastAsia"/>
                <w:sz w:val="24"/>
              </w:rPr>
              <w:t>%</w:t>
            </w:r>
            <w:r w:rsidRPr="00B440AD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2131" w:type="dxa"/>
            <w:vAlign w:val="center"/>
          </w:tcPr>
          <w:p w14:paraId="1547FCC0" w14:textId="0C7FCAEA" w:rsidR="006F5DAB" w:rsidRPr="00B440AD" w:rsidRDefault="00A902B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6.53</w:t>
            </w:r>
          </w:p>
        </w:tc>
      </w:tr>
      <w:tr w:rsidR="006F5DAB" w:rsidRPr="00152614" w14:paraId="5A878603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4E2636E5" w14:textId="71E42ABE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最近三个会计年度累计研发投入占累计营业收入比例是否在</w:t>
            </w:r>
            <w:r w:rsidRPr="00B440AD">
              <w:rPr>
                <w:rFonts w:eastAsiaTheme="minorEastAsia"/>
                <w:sz w:val="24"/>
              </w:rPr>
              <w:t>15%</w:t>
            </w:r>
            <w:r w:rsidRPr="00B440AD">
              <w:rPr>
                <w:rFonts w:eastAsiaTheme="minorEastAsia"/>
                <w:sz w:val="24"/>
              </w:rPr>
              <w:t>以上</w:t>
            </w:r>
          </w:p>
        </w:tc>
        <w:tc>
          <w:tcPr>
            <w:tcW w:w="2131" w:type="dxa"/>
            <w:vAlign w:val="center"/>
          </w:tcPr>
          <w:p w14:paraId="2B14DDA3" w14:textId="0A4B5238" w:rsidR="006F5DAB" w:rsidRPr="00B440AD" w:rsidRDefault="00A902B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否</w:t>
            </w:r>
          </w:p>
        </w:tc>
      </w:tr>
      <w:tr w:rsidR="006F5DAB" w:rsidRPr="00152614" w14:paraId="4CA39481" w14:textId="77777777" w:rsidTr="006D11CF">
        <w:trPr>
          <w:trHeight w:val="397"/>
          <w:jc w:val="center"/>
        </w:trPr>
        <w:tc>
          <w:tcPr>
            <w:tcW w:w="6391" w:type="dxa"/>
            <w:gridSpan w:val="3"/>
            <w:vAlign w:val="center"/>
          </w:tcPr>
          <w:p w14:paraId="2CF600B4" w14:textId="73341201" w:rsidR="006F5DAB" w:rsidRPr="00B440AD" w:rsidRDefault="006F5DAB" w:rsidP="00A62BC5">
            <w:pPr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是否触及《科创板股票上市规则》第</w:t>
            </w:r>
            <w:r w:rsidRPr="00B440AD">
              <w:rPr>
                <w:rFonts w:eastAsiaTheme="minorEastAsia"/>
                <w:sz w:val="24"/>
              </w:rPr>
              <w:t>12.9.1</w:t>
            </w:r>
            <w:r w:rsidRPr="00B440AD">
              <w:rPr>
                <w:rFonts w:eastAsiaTheme="minorEastAsia"/>
                <w:sz w:val="24"/>
              </w:rPr>
              <w:t>条第一款第（八）项规定的可能被实施其他风险警示的情形</w:t>
            </w:r>
          </w:p>
        </w:tc>
        <w:tc>
          <w:tcPr>
            <w:tcW w:w="2131" w:type="dxa"/>
            <w:vAlign w:val="center"/>
          </w:tcPr>
          <w:p w14:paraId="7485D0AE" w14:textId="727E8974" w:rsidR="006F5DAB" w:rsidRPr="00B440AD" w:rsidRDefault="006D11CF" w:rsidP="006D11CF">
            <w:pPr>
              <w:jc w:val="center"/>
              <w:rPr>
                <w:rFonts w:eastAsiaTheme="minorEastAsia"/>
                <w:sz w:val="24"/>
              </w:rPr>
            </w:pPr>
            <w:r w:rsidRPr="00B440AD">
              <w:rPr>
                <w:rFonts w:eastAsiaTheme="minorEastAsia"/>
                <w:sz w:val="24"/>
              </w:rPr>
              <w:t>否</w:t>
            </w:r>
          </w:p>
        </w:tc>
      </w:tr>
    </w:tbl>
    <w:p w14:paraId="688842F1" w14:textId="0AB15A79" w:rsidR="00FA443F" w:rsidRPr="00040CCC" w:rsidRDefault="006F5DAB" w:rsidP="00320D6F">
      <w:pPr>
        <w:adjustRightInd w:val="0"/>
        <w:snapToGrid w:val="0"/>
        <w:spacing w:beforeLines="100" w:before="312" w:line="360" w:lineRule="auto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</w:t>
      </w:r>
      <w:r w:rsidR="00946A78" w:rsidRPr="00040CCC">
        <w:rPr>
          <w:rFonts w:ascii="宋体" w:hAnsi="宋体" w:hint="eastAsia"/>
          <w:b/>
          <w:color w:val="000000"/>
          <w:sz w:val="28"/>
          <w:szCs w:val="28"/>
        </w:rPr>
        <w:t>、公司履行的决策程序</w:t>
      </w:r>
    </w:p>
    <w:p w14:paraId="4E7D0FE3" w14:textId="59BD6448" w:rsidR="00946A78" w:rsidRPr="00040CCC" w:rsidRDefault="00946A78" w:rsidP="00A62BC5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40CCC">
        <w:rPr>
          <w:rFonts w:ascii="宋体" w:hAnsi="宋体" w:hint="eastAsia"/>
          <w:color w:val="000000"/>
          <w:sz w:val="28"/>
          <w:szCs w:val="28"/>
        </w:rPr>
        <w:t>（一）董事会会议的召开、审计和表决情况</w:t>
      </w:r>
    </w:p>
    <w:p w14:paraId="4305662B" w14:textId="6E48A4E1" w:rsidR="007D08E0" w:rsidRDefault="00946A78" w:rsidP="00A62BC5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40CCC">
        <w:rPr>
          <w:rFonts w:ascii="宋体" w:hAnsi="宋体" w:hint="eastAsia"/>
          <w:color w:val="000000"/>
          <w:sz w:val="28"/>
          <w:szCs w:val="28"/>
        </w:rPr>
        <w:t>公司于</w:t>
      </w:r>
      <w:r w:rsidR="004277C5">
        <w:rPr>
          <w:rFonts w:ascii="宋体" w:hAnsi="宋体" w:hint="eastAsia"/>
          <w:color w:val="000000"/>
          <w:sz w:val="28"/>
          <w:szCs w:val="28"/>
        </w:rPr>
        <w:t>2025</w:t>
      </w:r>
      <w:r w:rsidRPr="00040CCC">
        <w:rPr>
          <w:rFonts w:ascii="宋体" w:hAnsi="宋体" w:hint="eastAsia"/>
          <w:color w:val="000000"/>
          <w:sz w:val="28"/>
          <w:szCs w:val="28"/>
        </w:rPr>
        <w:t>年</w:t>
      </w:r>
      <w:r w:rsidR="004E065C" w:rsidRPr="00040CCC">
        <w:rPr>
          <w:rFonts w:ascii="宋体" w:hAnsi="宋体" w:hint="eastAsia"/>
          <w:color w:val="000000"/>
          <w:sz w:val="28"/>
          <w:szCs w:val="28"/>
        </w:rPr>
        <w:t>4</w:t>
      </w:r>
      <w:r w:rsidRPr="00040CCC">
        <w:rPr>
          <w:rFonts w:ascii="宋体" w:hAnsi="宋体" w:hint="eastAsia"/>
          <w:color w:val="000000"/>
          <w:sz w:val="28"/>
          <w:szCs w:val="28"/>
        </w:rPr>
        <w:t>月</w:t>
      </w:r>
      <w:r w:rsidR="007D08E0">
        <w:rPr>
          <w:rFonts w:ascii="宋体" w:hAnsi="宋体" w:hint="eastAsia"/>
          <w:color w:val="000000"/>
          <w:sz w:val="28"/>
          <w:szCs w:val="28"/>
        </w:rPr>
        <w:t>2</w:t>
      </w:r>
      <w:r w:rsidR="00F25D17">
        <w:rPr>
          <w:rFonts w:ascii="宋体" w:hAnsi="宋体"/>
          <w:color w:val="000000"/>
          <w:sz w:val="28"/>
          <w:szCs w:val="28"/>
        </w:rPr>
        <w:t>9</w:t>
      </w:r>
      <w:r w:rsidRPr="00040CCC">
        <w:rPr>
          <w:rFonts w:ascii="宋体" w:hAnsi="宋体" w:hint="eastAsia"/>
          <w:color w:val="000000"/>
          <w:sz w:val="28"/>
          <w:szCs w:val="28"/>
        </w:rPr>
        <w:t>日召开公司第</w:t>
      </w:r>
      <w:r w:rsidR="006F5DAB">
        <w:rPr>
          <w:rFonts w:ascii="宋体" w:hAnsi="宋体" w:hint="eastAsia"/>
          <w:color w:val="000000"/>
          <w:sz w:val="28"/>
          <w:szCs w:val="28"/>
        </w:rPr>
        <w:t>四</w:t>
      </w:r>
      <w:r w:rsidRPr="00040CCC">
        <w:rPr>
          <w:rFonts w:ascii="宋体" w:hAnsi="宋体" w:hint="eastAsia"/>
          <w:color w:val="000000"/>
          <w:sz w:val="28"/>
          <w:szCs w:val="28"/>
        </w:rPr>
        <w:t>届董事会第</w:t>
      </w:r>
      <w:r w:rsidR="006F5DAB">
        <w:rPr>
          <w:rFonts w:ascii="宋体" w:hAnsi="宋体" w:hint="eastAsia"/>
          <w:color w:val="000000"/>
          <w:sz w:val="28"/>
          <w:szCs w:val="28"/>
        </w:rPr>
        <w:t>五</w:t>
      </w:r>
      <w:r w:rsidRPr="00040CCC">
        <w:rPr>
          <w:rFonts w:ascii="宋体" w:hAnsi="宋体" w:hint="eastAsia"/>
          <w:color w:val="000000"/>
          <w:sz w:val="28"/>
          <w:szCs w:val="28"/>
        </w:rPr>
        <w:t>次会议审议通过了《</w:t>
      </w:r>
      <w:r w:rsidR="00046E5D">
        <w:rPr>
          <w:rFonts w:ascii="宋体" w:hAnsi="宋体" w:hint="eastAsia"/>
          <w:color w:val="000000"/>
          <w:sz w:val="28"/>
          <w:szCs w:val="28"/>
        </w:rPr>
        <w:t>关于审议公司</w:t>
      </w:r>
      <w:r w:rsidR="004277C5">
        <w:rPr>
          <w:rFonts w:ascii="宋体" w:hAnsi="宋体" w:hint="eastAsia"/>
          <w:color w:val="000000"/>
          <w:sz w:val="28"/>
          <w:szCs w:val="28"/>
        </w:rPr>
        <w:t>2024</w:t>
      </w:r>
      <w:r w:rsidR="0004503A">
        <w:rPr>
          <w:rFonts w:ascii="宋体" w:hAnsi="宋体" w:hint="eastAsia"/>
          <w:color w:val="000000"/>
          <w:sz w:val="28"/>
          <w:szCs w:val="28"/>
        </w:rPr>
        <w:t>年</w:t>
      </w:r>
      <w:r w:rsidRPr="00040CCC">
        <w:rPr>
          <w:rFonts w:ascii="宋体" w:hAnsi="宋体" w:hint="eastAsia"/>
          <w:color w:val="000000"/>
          <w:sz w:val="28"/>
          <w:szCs w:val="28"/>
        </w:rPr>
        <w:t>度利润分配方案</w:t>
      </w:r>
      <w:r w:rsidR="00046E5D">
        <w:rPr>
          <w:rFonts w:ascii="宋体" w:hAnsi="宋体" w:hint="eastAsia"/>
          <w:color w:val="000000"/>
          <w:sz w:val="28"/>
          <w:szCs w:val="28"/>
        </w:rPr>
        <w:t>的议案</w:t>
      </w:r>
      <w:r w:rsidRPr="00040CCC">
        <w:rPr>
          <w:rFonts w:ascii="宋体" w:hAnsi="宋体" w:hint="eastAsia"/>
          <w:color w:val="000000"/>
          <w:sz w:val="28"/>
          <w:szCs w:val="28"/>
        </w:rPr>
        <w:t>》，</w:t>
      </w:r>
      <w:r w:rsidR="007D08E0" w:rsidRPr="007D08E0">
        <w:rPr>
          <w:rFonts w:ascii="宋体" w:hAnsi="宋体" w:hint="eastAsia"/>
          <w:color w:val="000000"/>
          <w:sz w:val="28"/>
          <w:szCs w:val="28"/>
        </w:rPr>
        <w:t>公司董事会同意本次利润分配方案并同意将该方案提交公司</w:t>
      </w:r>
      <w:r w:rsidR="004277C5">
        <w:rPr>
          <w:rFonts w:ascii="宋体" w:hAnsi="宋体" w:hint="eastAsia"/>
          <w:color w:val="000000"/>
          <w:sz w:val="28"/>
          <w:szCs w:val="28"/>
        </w:rPr>
        <w:t>2024</w:t>
      </w:r>
      <w:r w:rsidR="007D08E0" w:rsidRPr="007D08E0">
        <w:rPr>
          <w:rFonts w:ascii="宋体" w:hAnsi="宋体" w:hint="eastAsia"/>
          <w:color w:val="000000"/>
          <w:sz w:val="28"/>
          <w:szCs w:val="28"/>
        </w:rPr>
        <w:t>年</w:t>
      </w:r>
      <w:r w:rsidR="00DC5447"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7D08E0" w:rsidRPr="007D08E0">
        <w:rPr>
          <w:rFonts w:ascii="宋体" w:hAnsi="宋体" w:hint="eastAsia"/>
          <w:color w:val="000000"/>
          <w:sz w:val="28"/>
          <w:szCs w:val="28"/>
        </w:rPr>
        <w:t>度股东大会审议。</w:t>
      </w:r>
    </w:p>
    <w:p w14:paraId="58D93D81" w14:textId="14CE2701" w:rsidR="004E065C" w:rsidRPr="00040CCC" w:rsidRDefault="004E065C" w:rsidP="00A62BC5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40CCC">
        <w:rPr>
          <w:rFonts w:ascii="宋体" w:hAnsi="宋体" w:hint="eastAsia"/>
          <w:color w:val="000000"/>
          <w:sz w:val="28"/>
          <w:szCs w:val="28"/>
        </w:rPr>
        <w:t>（</w:t>
      </w:r>
      <w:r w:rsidR="00F25D17">
        <w:rPr>
          <w:rFonts w:ascii="宋体" w:hAnsi="宋体" w:hint="eastAsia"/>
          <w:color w:val="000000"/>
          <w:sz w:val="28"/>
          <w:szCs w:val="28"/>
        </w:rPr>
        <w:t>二</w:t>
      </w:r>
      <w:r w:rsidRPr="00040CCC">
        <w:rPr>
          <w:rFonts w:ascii="宋体" w:hAnsi="宋体" w:hint="eastAsia"/>
          <w:color w:val="000000"/>
          <w:sz w:val="28"/>
          <w:szCs w:val="28"/>
        </w:rPr>
        <w:t>）监事会</w:t>
      </w:r>
      <w:r w:rsidR="000241FB" w:rsidRPr="00040CCC">
        <w:rPr>
          <w:rFonts w:ascii="宋体" w:hAnsi="宋体" w:hint="eastAsia"/>
          <w:color w:val="000000"/>
          <w:sz w:val="28"/>
          <w:szCs w:val="28"/>
        </w:rPr>
        <w:t>意见</w:t>
      </w:r>
    </w:p>
    <w:p w14:paraId="6499C24F" w14:textId="73EA2FD7" w:rsidR="004E065C" w:rsidRPr="00040CCC" w:rsidRDefault="004E065C" w:rsidP="00A62BC5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40CCC">
        <w:rPr>
          <w:rFonts w:ascii="宋体" w:hAnsi="宋体" w:hint="eastAsia"/>
          <w:color w:val="000000"/>
          <w:sz w:val="28"/>
          <w:szCs w:val="28"/>
        </w:rPr>
        <w:t>监事会认为</w:t>
      </w:r>
      <w:r w:rsidR="001C6DBD">
        <w:rPr>
          <w:rFonts w:ascii="宋体" w:hAnsi="宋体" w:hint="eastAsia"/>
          <w:color w:val="000000"/>
          <w:sz w:val="28"/>
          <w:szCs w:val="28"/>
        </w:rPr>
        <w:t>：</w:t>
      </w:r>
      <w:r w:rsidRPr="00040CCC">
        <w:rPr>
          <w:rFonts w:ascii="宋体" w:hAnsi="宋体" w:hint="eastAsia"/>
          <w:color w:val="000000"/>
          <w:sz w:val="28"/>
          <w:szCs w:val="28"/>
        </w:rPr>
        <w:t>公司</w:t>
      </w:r>
      <w:r w:rsidR="004277C5">
        <w:rPr>
          <w:rFonts w:ascii="宋体" w:hAnsi="宋体" w:hint="eastAsia"/>
          <w:color w:val="000000"/>
          <w:sz w:val="28"/>
          <w:szCs w:val="28"/>
        </w:rPr>
        <w:t>2024</w:t>
      </w:r>
      <w:r w:rsidR="0004503A">
        <w:rPr>
          <w:rFonts w:ascii="宋体" w:hAnsi="宋体" w:hint="eastAsia"/>
          <w:color w:val="000000"/>
          <w:sz w:val="28"/>
          <w:szCs w:val="28"/>
        </w:rPr>
        <w:t>年</w:t>
      </w:r>
      <w:r w:rsidRPr="00040CCC">
        <w:rPr>
          <w:rFonts w:ascii="宋体" w:hAnsi="宋体" w:hint="eastAsia"/>
          <w:color w:val="000000"/>
          <w:sz w:val="28"/>
          <w:szCs w:val="28"/>
        </w:rPr>
        <w:t>度利润分配方案充分考虑了</w:t>
      </w:r>
      <w:r w:rsidR="00067558">
        <w:rPr>
          <w:rFonts w:ascii="宋体" w:hAnsi="宋体" w:hint="eastAsia"/>
          <w:color w:val="000000"/>
          <w:sz w:val="28"/>
          <w:szCs w:val="28"/>
        </w:rPr>
        <w:t>公司实际</w:t>
      </w:r>
      <w:r w:rsidR="00DB439B">
        <w:rPr>
          <w:rFonts w:ascii="宋体" w:hAnsi="宋体" w:hint="eastAsia"/>
          <w:color w:val="000000"/>
          <w:sz w:val="28"/>
          <w:szCs w:val="28"/>
        </w:rPr>
        <w:t>经营和</w:t>
      </w:r>
      <w:r w:rsidR="001C6DBD">
        <w:rPr>
          <w:rFonts w:ascii="宋体" w:hAnsi="宋体" w:hint="eastAsia"/>
          <w:color w:val="000000"/>
          <w:sz w:val="28"/>
          <w:szCs w:val="28"/>
        </w:rPr>
        <w:t>业务拓展的</w:t>
      </w:r>
      <w:r w:rsidRPr="00040CCC">
        <w:rPr>
          <w:rFonts w:ascii="宋体" w:hAnsi="宋体" w:hint="eastAsia"/>
          <w:color w:val="000000"/>
          <w:sz w:val="28"/>
          <w:szCs w:val="28"/>
        </w:rPr>
        <w:t>资金需求</w:t>
      </w:r>
      <w:r w:rsidR="00067558">
        <w:rPr>
          <w:rFonts w:ascii="宋体" w:hAnsi="宋体" w:hint="eastAsia"/>
          <w:color w:val="000000"/>
          <w:sz w:val="28"/>
          <w:szCs w:val="28"/>
        </w:rPr>
        <w:t>及公司</w:t>
      </w:r>
      <w:r w:rsidR="00067558" w:rsidRPr="00040CCC">
        <w:rPr>
          <w:rFonts w:ascii="宋体" w:hAnsi="宋体" w:hint="eastAsia"/>
          <w:color w:val="000000"/>
          <w:sz w:val="28"/>
          <w:szCs w:val="28"/>
        </w:rPr>
        <w:t>现金流状态</w:t>
      </w:r>
      <w:r w:rsidRPr="00040CCC">
        <w:rPr>
          <w:rFonts w:ascii="宋体" w:hAnsi="宋体" w:hint="eastAsia"/>
          <w:color w:val="000000"/>
          <w:sz w:val="28"/>
          <w:szCs w:val="28"/>
        </w:rPr>
        <w:t>等各种因素，不存在损害</w:t>
      </w:r>
      <w:r w:rsidR="000241FB" w:rsidRPr="00040CCC">
        <w:rPr>
          <w:rFonts w:ascii="宋体" w:hAnsi="宋体" w:hint="eastAsia"/>
          <w:color w:val="000000"/>
          <w:sz w:val="28"/>
          <w:szCs w:val="28"/>
        </w:rPr>
        <w:t>公司及</w:t>
      </w:r>
      <w:r w:rsidRPr="00040CCC">
        <w:rPr>
          <w:rFonts w:ascii="宋体" w:hAnsi="宋体" w:hint="eastAsia"/>
          <w:color w:val="000000"/>
          <w:sz w:val="28"/>
          <w:szCs w:val="28"/>
        </w:rPr>
        <w:t>股东利益的情形，符合公司经营现状，有利于公司的</w:t>
      </w:r>
      <w:r w:rsidR="00067558">
        <w:rPr>
          <w:rFonts w:ascii="宋体" w:hAnsi="宋体" w:hint="eastAsia"/>
          <w:color w:val="000000"/>
          <w:sz w:val="28"/>
          <w:szCs w:val="28"/>
        </w:rPr>
        <w:t>可持续</w:t>
      </w:r>
      <w:r w:rsidRPr="00040CCC">
        <w:rPr>
          <w:rFonts w:ascii="宋体" w:hAnsi="宋体" w:hint="eastAsia"/>
          <w:color w:val="000000"/>
          <w:sz w:val="28"/>
          <w:szCs w:val="28"/>
        </w:rPr>
        <w:t>发展。</w:t>
      </w:r>
      <w:r w:rsidR="000241FB" w:rsidRPr="00040CCC">
        <w:rPr>
          <w:rFonts w:ascii="宋体" w:hAnsi="宋体" w:hint="eastAsia"/>
          <w:color w:val="000000"/>
          <w:sz w:val="28"/>
          <w:szCs w:val="28"/>
        </w:rPr>
        <w:t>因此，我们</w:t>
      </w:r>
      <w:r w:rsidR="00D75F9B" w:rsidRPr="00040CCC">
        <w:rPr>
          <w:rFonts w:ascii="宋体" w:hAnsi="宋体" w:hint="eastAsia"/>
          <w:color w:val="000000"/>
          <w:sz w:val="28"/>
          <w:szCs w:val="28"/>
        </w:rPr>
        <w:t>同意</w:t>
      </w:r>
      <w:r w:rsidR="004277C5">
        <w:rPr>
          <w:rFonts w:ascii="宋体" w:hAnsi="宋体" w:hint="eastAsia"/>
          <w:color w:val="000000"/>
          <w:sz w:val="28"/>
          <w:szCs w:val="28"/>
        </w:rPr>
        <w:t>2024</w:t>
      </w:r>
      <w:r w:rsidR="0004503A">
        <w:rPr>
          <w:rFonts w:ascii="宋体" w:hAnsi="宋体" w:hint="eastAsia"/>
          <w:color w:val="000000"/>
          <w:sz w:val="28"/>
          <w:szCs w:val="28"/>
        </w:rPr>
        <w:t>年</w:t>
      </w:r>
      <w:r w:rsidR="00DB439B">
        <w:rPr>
          <w:rFonts w:ascii="宋体" w:hAnsi="宋体" w:hint="eastAsia"/>
          <w:color w:val="000000"/>
          <w:sz w:val="28"/>
          <w:szCs w:val="28"/>
        </w:rPr>
        <w:t>度</w:t>
      </w:r>
      <w:r w:rsidR="000241FB" w:rsidRPr="00040CCC">
        <w:rPr>
          <w:rFonts w:ascii="宋体" w:hAnsi="宋体" w:hint="eastAsia"/>
          <w:color w:val="000000"/>
          <w:sz w:val="28"/>
          <w:szCs w:val="28"/>
        </w:rPr>
        <w:t>利润分配方案，</w:t>
      </w:r>
      <w:r w:rsidRPr="00040CCC">
        <w:rPr>
          <w:rFonts w:ascii="宋体" w:hAnsi="宋体" w:hint="eastAsia"/>
          <w:color w:val="000000"/>
          <w:sz w:val="28"/>
          <w:szCs w:val="28"/>
        </w:rPr>
        <w:t>并同意将该</w:t>
      </w:r>
      <w:r w:rsidR="000241FB" w:rsidRPr="00040CCC">
        <w:rPr>
          <w:rFonts w:ascii="宋体" w:hAnsi="宋体" w:hint="eastAsia"/>
          <w:color w:val="000000"/>
          <w:sz w:val="28"/>
          <w:szCs w:val="28"/>
        </w:rPr>
        <w:t>方案</w:t>
      </w:r>
      <w:r w:rsidRPr="00040CCC">
        <w:rPr>
          <w:rFonts w:ascii="宋体" w:hAnsi="宋体" w:hint="eastAsia"/>
          <w:color w:val="000000"/>
          <w:sz w:val="28"/>
          <w:szCs w:val="28"/>
        </w:rPr>
        <w:t>提交</w:t>
      </w:r>
      <w:r w:rsidR="00BB3F82" w:rsidRPr="00040CCC">
        <w:rPr>
          <w:rFonts w:ascii="宋体" w:hAnsi="宋体" w:hint="eastAsia"/>
          <w:color w:val="000000"/>
          <w:sz w:val="28"/>
          <w:szCs w:val="28"/>
        </w:rPr>
        <w:t>公司</w:t>
      </w:r>
      <w:r w:rsidR="004277C5">
        <w:rPr>
          <w:rFonts w:ascii="宋体" w:hAnsi="宋体" w:hint="eastAsia"/>
          <w:color w:val="000000"/>
          <w:sz w:val="28"/>
          <w:szCs w:val="28"/>
        </w:rPr>
        <w:t>2024</w:t>
      </w:r>
      <w:r w:rsidR="000241FB" w:rsidRPr="00040CCC">
        <w:rPr>
          <w:rFonts w:ascii="宋体" w:hAnsi="宋体" w:hint="eastAsia"/>
          <w:color w:val="000000"/>
          <w:sz w:val="28"/>
          <w:szCs w:val="28"/>
        </w:rPr>
        <w:t>年</w:t>
      </w:r>
      <w:r w:rsidR="00DC5447"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0241FB" w:rsidRPr="00040CCC">
        <w:rPr>
          <w:rFonts w:ascii="宋体" w:hAnsi="宋体" w:hint="eastAsia"/>
          <w:color w:val="000000"/>
          <w:sz w:val="28"/>
          <w:szCs w:val="28"/>
        </w:rPr>
        <w:t>度</w:t>
      </w:r>
      <w:r w:rsidRPr="00040CCC">
        <w:rPr>
          <w:rFonts w:ascii="宋体" w:hAnsi="宋体" w:hint="eastAsia"/>
          <w:color w:val="000000"/>
          <w:sz w:val="28"/>
          <w:szCs w:val="28"/>
        </w:rPr>
        <w:t>股东大会审议。</w:t>
      </w:r>
    </w:p>
    <w:p w14:paraId="79C04C07" w14:textId="7FD738F1" w:rsidR="00683FCB" w:rsidRPr="00040CCC" w:rsidRDefault="006F5DAB" w:rsidP="00A62BC5">
      <w:pPr>
        <w:adjustRightInd w:val="0"/>
        <w:snapToGrid w:val="0"/>
        <w:spacing w:beforeLines="50" w:before="156" w:line="360" w:lineRule="auto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683FCB" w:rsidRPr="00040CCC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BB3F82" w:rsidRPr="00040CCC">
        <w:rPr>
          <w:rFonts w:ascii="宋体" w:hAnsi="宋体" w:hint="eastAsia"/>
          <w:b/>
          <w:color w:val="000000"/>
          <w:sz w:val="28"/>
          <w:szCs w:val="28"/>
        </w:rPr>
        <w:t>风险提示</w:t>
      </w:r>
    </w:p>
    <w:p w14:paraId="465813A0" w14:textId="1FED9BAB" w:rsidR="00067558" w:rsidRPr="00067558" w:rsidRDefault="00067558" w:rsidP="00A62BC5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67558">
        <w:rPr>
          <w:rFonts w:ascii="宋体" w:hAnsi="宋体" w:hint="eastAsia"/>
          <w:color w:val="000000"/>
          <w:sz w:val="28"/>
          <w:szCs w:val="28"/>
        </w:rPr>
        <w:lastRenderedPageBreak/>
        <w:t>（一）公司</w:t>
      </w:r>
      <w:r w:rsidR="004277C5">
        <w:rPr>
          <w:rFonts w:ascii="宋体" w:hAnsi="宋体"/>
          <w:color w:val="000000"/>
          <w:sz w:val="28"/>
          <w:szCs w:val="28"/>
        </w:rPr>
        <w:t>2024</w:t>
      </w:r>
      <w:r w:rsidR="00956AEC">
        <w:rPr>
          <w:rFonts w:ascii="宋体" w:hAnsi="宋体" w:hint="eastAsia"/>
          <w:color w:val="000000"/>
          <w:sz w:val="28"/>
          <w:szCs w:val="28"/>
        </w:rPr>
        <w:t>年度</w:t>
      </w:r>
      <w:r w:rsidRPr="00067558">
        <w:rPr>
          <w:rFonts w:ascii="宋体" w:hAnsi="宋体" w:hint="eastAsia"/>
          <w:color w:val="000000"/>
          <w:sz w:val="28"/>
          <w:szCs w:val="28"/>
        </w:rPr>
        <w:t>利润分配方案</w:t>
      </w:r>
      <w:r>
        <w:rPr>
          <w:rFonts w:ascii="宋体" w:hAnsi="宋体" w:hint="eastAsia"/>
          <w:color w:val="000000"/>
          <w:sz w:val="28"/>
          <w:szCs w:val="28"/>
        </w:rPr>
        <w:t>考虑了</w:t>
      </w:r>
      <w:r w:rsidRPr="00067558">
        <w:rPr>
          <w:rFonts w:ascii="宋体" w:hAnsi="宋体" w:hint="eastAsia"/>
          <w:color w:val="000000"/>
          <w:sz w:val="28"/>
          <w:szCs w:val="28"/>
        </w:rPr>
        <w:t>公司</w:t>
      </w:r>
      <w:r w:rsidRPr="007D08E0">
        <w:rPr>
          <w:rFonts w:ascii="宋体" w:hAnsi="宋体" w:hint="eastAsia"/>
          <w:color w:val="000000"/>
          <w:sz w:val="28"/>
          <w:szCs w:val="28"/>
        </w:rPr>
        <w:t>的实际情况和未来发展的资金需求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 w:rsidRPr="00067558">
        <w:rPr>
          <w:rFonts w:ascii="宋体" w:hAnsi="宋体" w:hint="eastAsia"/>
          <w:color w:val="000000"/>
          <w:sz w:val="28"/>
          <w:szCs w:val="28"/>
        </w:rPr>
        <w:t>有利于公司的可持续发展，不会对公司的正常经营活动产生影响。</w:t>
      </w:r>
    </w:p>
    <w:p w14:paraId="4906BA6D" w14:textId="7A3A3EB7" w:rsidR="004B687A" w:rsidRPr="00040CCC" w:rsidRDefault="00067558" w:rsidP="00A62BC5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67558">
        <w:rPr>
          <w:rFonts w:ascii="宋体" w:hAnsi="宋体" w:hint="eastAsia"/>
          <w:color w:val="000000"/>
          <w:sz w:val="28"/>
          <w:szCs w:val="28"/>
        </w:rPr>
        <w:t>（二）本次利润分配方案尚需提交公司</w:t>
      </w:r>
      <w:r w:rsidR="004277C5">
        <w:rPr>
          <w:rFonts w:ascii="宋体" w:hAnsi="宋体"/>
          <w:color w:val="000000"/>
          <w:sz w:val="28"/>
          <w:szCs w:val="28"/>
        </w:rPr>
        <w:t>2024</w:t>
      </w:r>
      <w:r w:rsidR="0004503A">
        <w:rPr>
          <w:rFonts w:ascii="宋体" w:hAnsi="宋体"/>
          <w:color w:val="000000"/>
          <w:sz w:val="28"/>
          <w:szCs w:val="28"/>
        </w:rPr>
        <w:t>年</w:t>
      </w:r>
      <w:r w:rsidR="00DC5447" w:rsidRPr="00F8614E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067558">
        <w:rPr>
          <w:rFonts w:ascii="宋体" w:hAnsi="宋体" w:hint="eastAsia"/>
          <w:color w:val="000000"/>
          <w:sz w:val="28"/>
          <w:szCs w:val="28"/>
        </w:rPr>
        <w:t>度股东大会审议通过。</w:t>
      </w:r>
      <w:r w:rsidR="00BB3F82" w:rsidRPr="00040CCC">
        <w:rPr>
          <w:rFonts w:ascii="宋体" w:hAnsi="宋体" w:hint="eastAsia"/>
          <w:color w:val="000000"/>
          <w:sz w:val="28"/>
          <w:szCs w:val="28"/>
        </w:rPr>
        <w:t>敬请投资者注意投资风险。</w:t>
      </w:r>
    </w:p>
    <w:p w14:paraId="06BD847B" w14:textId="5FA2DCF0" w:rsidR="00067558" w:rsidRDefault="00683FCB" w:rsidP="00A62BC5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40CCC">
        <w:rPr>
          <w:rFonts w:ascii="宋体" w:hAnsi="宋体" w:hint="eastAsia"/>
          <w:color w:val="000000"/>
          <w:sz w:val="28"/>
          <w:szCs w:val="28"/>
        </w:rPr>
        <w:t>特此公告。</w:t>
      </w:r>
    </w:p>
    <w:p w14:paraId="0602C9FE" w14:textId="77777777" w:rsidR="00246F2E" w:rsidRPr="00040CCC" w:rsidRDefault="00246F2E" w:rsidP="004B687A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14:paraId="5EB30731" w14:textId="77777777" w:rsidR="00683FCB" w:rsidRPr="00040CCC" w:rsidRDefault="00FA443F" w:rsidP="00A62BC5">
      <w:pPr>
        <w:adjustRightInd w:val="0"/>
        <w:snapToGrid w:val="0"/>
        <w:spacing w:line="360" w:lineRule="auto"/>
        <w:ind w:left="420" w:right="120"/>
        <w:jc w:val="right"/>
        <w:rPr>
          <w:rFonts w:ascii="宋体" w:hAnsi="宋体"/>
          <w:color w:val="000000"/>
          <w:sz w:val="28"/>
          <w:szCs w:val="28"/>
        </w:rPr>
      </w:pPr>
      <w:r w:rsidRPr="00040CCC">
        <w:rPr>
          <w:rFonts w:ascii="宋体" w:hAnsi="宋体" w:hint="eastAsia"/>
          <w:color w:val="000000"/>
          <w:sz w:val="28"/>
          <w:szCs w:val="28"/>
        </w:rPr>
        <w:t>深圳市有方科技</w:t>
      </w:r>
      <w:r w:rsidR="00683FCB" w:rsidRPr="00040CCC">
        <w:rPr>
          <w:rFonts w:ascii="宋体" w:hAnsi="宋体" w:hint="eastAsia"/>
          <w:color w:val="000000"/>
          <w:sz w:val="28"/>
          <w:szCs w:val="28"/>
        </w:rPr>
        <w:t>股份有限公司董事会</w:t>
      </w:r>
    </w:p>
    <w:p w14:paraId="33B5AC22" w14:textId="3CC33DEF" w:rsidR="007C68BD" w:rsidRPr="00061C87" w:rsidRDefault="004277C5" w:rsidP="00A62BC5">
      <w:pPr>
        <w:snapToGrid w:val="0"/>
        <w:spacing w:line="360" w:lineRule="auto"/>
        <w:ind w:left="420" w:right="24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2025</w:t>
      </w:r>
      <w:r w:rsidR="00683FCB" w:rsidRPr="00040CCC">
        <w:rPr>
          <w:rFonts w:ascii="宋体" w:hAnsi="宋体" w:hint="eastAsia"/>
          <w:color w:val="000000"/>
          <w:sz w:val="28"/>
          <w:szCs w:val="28"/>
        </w:rPr>
        <w:t>年</w:t>
      </w:r>
      <w:r w:rsidR="00FA443F" w:rsidRPr="00040CCC">
        <w:rPr>
          <w:rFonts w:ascii="宋体" w:hAnsi="宋体" w:hint="eastAsia"/>
          <w:color w:val="000000"/>
          <w:sz w:val="28"/>
          <w:szCs w:val="28"/>
        </w:rPr>
        <w:t>4</w:t>
      </w:r>
      <w:r w:rsidR="00683FCB" w:rsidRPr="00040CCC">
        <w:rPr>
          <w:rFonts w:ascii="宋体" w:hAnsi="宋体" w:hint="eastAsia"/>
          <w:color w:val="000000"/>
          <w:sz w:val="28"/>
          <w:szCs w:val="28"/>
        </w:rPr>
        <w:t>月</w:t>
      </w:r>
      <w:r w:rsidR="00F25D17">
        <w:rPr>
          <w:rFonts w:ascii="宋体" w:hAnsi="宋体"/>
          <w:color w:val="000000"/>
          <w:sz w:val="28"/>
          <w:szCs w:val="28"/>
        </w:rPr>
        <w:t>30</w:t>
      </w:r>
      <w:r w:rsidR="00683FCB" w:rsidRPr="00040CCC">
        <w:rPr>
          <w:rFonts w:ascii="宋体" w:hAnsi="宋体" w:hint="eastAsia"/>
          <w:color w:val="000000"/>
          <w:sz w:val="28"/>
          <w:szCs w:val="28"/>
        </w:rPr>
        <w:t>日</w:t>
      </w:r>
    </w:p>
    <w:sectPr w:rsidR="007C68BD" w:rsidRPr="00061C87" w:rsidSect="007C6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DE483" w14:textId="77777777" w:rsidR="00777278" w:rsidRDefault="00777278" w:rsidP="00C8433E">
      <w:r>
        <w:separator/>
      </w:r>
    </w:p>
  </w:endnote>
  <w:endnote w:type="continuationSeparator" w:id="0">
    <w:p w14:paraId="163DAFE6" w14:textId="77777777" w:rsidR="00777278" w:rsidRDefault="00777278" w:rsidP="00C8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C0744" w14:textId="77777777" w:rsidR="00777278" w:rsidRDefault="00777278" w:rsidP="00C8433E">
      <w:r>
        <w:separator/>
      </w:r>
    </w:p>
  </w:footnote>
  <w:footnote w:type="continuationSeparator" w:id="0">
    <w:p w14:paraId="2AA72CAD" w14:textId="77777777" w:rsidR="00777278" w:rsidRDefault="00777278" w:rsidP="00C8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7271"/>
    <w:multiLevelType w:val="hybridMultilevel"/>
    <w:tmpl w:val="E014E002"/>
    <w:lvl w:ilvl="0" w:tplc="3484F3AE">
      <w:start w:val="1"/>
      <w:numFmt w:val="japaneseCounting"/>
      <w:lvlText w:val="（%1）"/>
      <w:lvlJc w:val="left"/>
      <w:pPr>
        <w:ind w:left="1395" w:hanging="8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627A3495"/>
    <w:multiLevelType w:val="hybridMultilevel"/>
    <w:tmpl w:val="A45020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FCB"/>
    <w:rsid w:val="00004AC9"/>
    <w:rsid w:val="00014965"/>
    <w:rsid w:val="00017CB1"/>
    <w:rsid w:val="000222D8"/>
    <w:rsid w:val="000241FB"/>
    <w:rsid w:val="00040CCC"/>
    <w:rsid w:val="000427DD"/>
    <w:rsid w:val="0004503A"/>
    <w:rsid w:val="0004559A"/>
    <w:rsid w:val="000460FA"/>
    <w:rsid w:val="00046E5D"/>
    <w:rsid w:val="0006136A"/>
    <w:rsid w:val="000614A4"/>
    <w:rsid w:val="00061C87"/>
    <w:rsid w:val="0006666D"/>
    <w:rsid w:val="00067558"/>
    <w:rsid w:val="000915B3"/>
    <w:rsid w:val="000A74D8"/>
    <w:rsid w:val="000B3E93"/>
    <w:rsid w:val="000C4BFF"/>
    <w:rsid w:val="000D511B"/>
    <w:rsid w:val="00131855"/>
    <w:rsid w:val="00136E98"/>
    <w:rsid w:val="00151F98"/>
    <w:rsid w:val="00152614"/>
    <w:rsid w:val="00153F0F"/>
    <w:rsid w:val="0016203C"/>
    <w:rsid w:val="001724A4"/>
    <w:rsid w:val="00183494"/>
    <w:rsid w:val="00187148"/>
    <w:rsid w:val="001A7DD5"/>
    <w:rsid w:val="001B2389"/>
    <w:rsid w:val="001B75E9"/>
    <w:rsid w:val="001C6DBD"/>
    <w:rsid w:val="001D31F1"/>
    <w:rsid w:val="001E0940"/>
    <w:rsid w:val="001F0C09"/>
    <w:rsid w:val="00204806"/>
    <w:rsid w:val="00204FC6"/>
    <w:rsid w:val="00240F23"/>
    <w:rsid w:val="00241628"/>
    <w:rsid w:val="00246F2E"/>
    <w:rsid w:val="00296004"/>
    <w:rsid w:val="002975F5"/>
    <w:rsid w:val="002F0B1C"/>
    <w:rsid w:val="003161F2"/>
    <w:rsid w:val="00320D6F"/>
    <w:rsid w:val="00330262"/>
    <w:rsid w:val="0033276F"/>
    <w:rsid w:val="00351D49"/>
    <w:rsid w:val="00364299"/>
    <w:rsid w:val="0039575C"/>
    <w:rsid w:val="003A396E"/>
    <w:rsid w:val="003C6876"/>
    <w:rsid w:val="003F02F8"/>
    <w:rsid w:val="00424864"/>
    <w:rsid w:val="0042713D"/>
    <w:rsid w:val="004277C5"/>
    <w:rsid w:val="004519B0"/>
    <w:rsid w:val="004600B5"/>
    <w:rsid w:val="004816E7"/>
    <w:rsid w:val="004A232A"/>
    <w:rsid w:val="004B4AAB"/>
    <w:rsid w:val="004B687A"/>
    <w:rsid w:val="004C3FE2"/>
    <w:rsid w:val="004E065C"/>
    <w:rsid w:val="005020AB"/>
    <w:rsid w:val="00526258"/>
    <w:rsid w:val="00533800"/>
    <w:rsid w:val="00533CF2"/>
    <w:rsid w:val="005543E6"/>
    <w:rsid w:val="00582E02"/>
    <w:rsid w:val="00592A1A"/>
    <w:rsid w:val="0059323F"/>
    <w:rsid w:val="005B72D0"/>
    <w:rsid w:val="005C016B"/>
    <w:rsid w:val="005C529A"/>
    <w:rsid w:val="005F1259"/>
    <w:rsid w:val="00626627"/>
    <w:rsid w:val="00664143"/>
    <w:rsid w:val="00666CFF"/>
    <w:rsid w:val="00677F19"/>
    <w:rsid w:val="00683FCB"/>
    <w:rsid w:val="00684022"/>
    <w:rsid w:val="006A18FE"/>
    <w:rsid w:val="006A5975"/>
    <w:rsid w:val="006B53C1"/>
    <w:rsid w:val="006C56B7"/>
    <w:rsid w:val="006D11CF"/>
    <w:rsid w:val="006F321C"/>
    <w:rsid w:val="006F5DAB"/>
    <w:rsid w:val="007123D8"/>
    <w:rsid w:val="0073600E"/>
    <w:rsid w:val="0075618C"/>
    <w:rsid w:val="007567A2"/>
    <w:rsid w:val="00760125"/>
    <w:rsid w:val="007615B0"/>
    <w:rsid w:val="00777278"/>
    <w:rsid w:val="00784B69"/>
    <w:rsid w:val="00790148"/>
    <w:rsid w:val="007A312E"/>
    <w:rsid w:val="007B0982"/>
    <w:rsid w:val="007C68BD"/>
    <w:rsid w:val="007C7841"/>
    <w:rsid w:val="007C7844"/>
    <w:rsid w:val="007D08E0"/>
    <w:rsid w:val="007E19C0"/>
    <w:rsid w:val="007F13E0"/>
    <w:rsid w:val="007F5004"/>
    <w:rsid w:val="00802E9C"/>
    <w:rsid w:val="008123A9"/>
    <w:rsid w:val="008205DD"/>
    <w:rsid w:val="00836F99"/>
    <w:rsid w:val="008464FF"/>
    <w:rsid w:val="00852AF6"/>
    <w:rsid w:val="00860A71"/>
    <w:rsid w:val="00870AB7"/>
    <w:rsid w:val="0088449E"/>
    <w:rsid w:val="008976CB"/>
    <w:rsid w:val="008C0B6B"/>
    <w:rsid w:val="008C4864"/>
    <w:rsid w:val="008C678C"/>
    <w:rsid w:val="008D1919"/>
    <w:rsid w:val="008D5438"/>
    <w:rsid w:val="008E3C7D"/>
    <w:rsid w:val="008F547F"/>
    <w:rsid w:val="00927C93"/>
    <w:rsid w:val="0093148D"/>
    <w:rsid w:val="00936C74"/>
    <w:rsid w:val="009411D2"/>
    <w:rsid w:val="00946A78"/>
    <w:rsid w:val="0095064A"/>
    <w:rsid w:val="00956AEC"/>
    <w:rsid w:val="00956E38"/>
    <w:rsid w:val="0095757A"/>
    <w:rsid w:val="00965767"/>
    <w:rsid w:val="0097440C"/>
    <w:rsid w:val="00985A6B"/>
    <w:rsid w:val="00985D46"/>
    <w:rsid w:val="009A27EB"/>
    <w:rsid w:val="009D5414"/>
    <w:rsid w:val="009D5FB8"/>
    <w:rsid w:val="009E4642"/>
    <w:rsid w:val="00A04C43"/>
    <w:rsid w:val="00A06339"/>
    <w:rsid w:val="00A11B5C"/>
    <w:rsid w:val="00A26BA3"/>
    <w:rsid w:val="00A346E0"/>
    <w:rsid w:val="00A577F3"/>
    <w:rsid w:val="00A62BC5"/>
    <w:rsid w:val="00A62DDE"/>
    <w:rsid w:val="00A65006"/>
    <w:rsid w:val="00A72E6D"/>
    <w:rsid w:val="00A77BC5"/>
    <w:rsid w:val="00A902BF"/>
    <w:rsid w:val="00AB4CE4"/>
    <w:rsid w:val="00AB5270"/>
    <w:rsid w:val="00AC61BC"/>
    <w:rsid w:val="00AD16B9"/>
    <w:rsid w:val="00AE2965"/>
    <w:rsid w:val="00AE7415"/>
    <w:rsid w:val="00AF01DC"/>
    <w:rsid w:val="00AF31B4"/>
    <w:rsid w:val="00AF6700"/>
    <w:rsid w:val="00B032D0"/>
    <w:rsid w:val="00B422CC"/>
    <w:rsid w:val="00B440AD"/>
    <w:rsid w:val="00B46EE7"/>
    <w:rsid w:val="00B73DBE"/>
    <w:rsid w:val="00B83E54"/>
    <w:rsid w:val="00BA2BC6"/>
    <w:rsid w:val="00BB0E15"/>
    <w:rsid w:val="00BB3F82"/>
    <w:rsid w:val="00BD1BDA"/>
    <w:rsid w:val="00BF3FBF"/>
    <w:rsid w:val="00C05F1C"/>
    <w:rsid w:val="00C331A7"/>
    <w:rsid w:val="00C40E04"/>
    <w:rsid w:val="00C446BF"/>
    <w:rsid w:val="00C63BDA"/>
    <w:rsid w:val="00C67DCF"/>
    <w:rsid w:val="00C75844"/>
    <w:rsid w:val="00C759CA"/>
    <w:rsid w:val="00C802A7"/>
    <w:rsid w:val="00C83911"/>
    <w:rsid w:val="00C8433E"/>
    <w:rsid w:val="00CD376F"/>
    <w:rsid w:val="00CE0100"/>
    <w:rsid w:val="00CE02EC"/>
    <w:rsid w:val="00CF644B"/>
    <w:rsid w:val="00D159AA"/>
    <w:rsid w:val="00D22C00"/>
    <w:rsid w:val="00D25896"/>
    <w:rsid w:val="00D46CA3"/>
    <w:rsid w:val="00D544C4"/>
    <w:rsid w:val="00D74F9A"/>
    <w:rsid w:val="00D75F9B"/>
    <w:rsid w:val="00D81C92"/>
    <w:rsid w:val="00DB439B"/>
    <w:rsid w:val="00DC5447"/>
    <w:rsid w:val="00DD098F"/>
    <w:rsid w:val="00DE1CC5"/>
    <w:rsid w:val="00DE1E28"/>
    <w:rsid w:val="00DE7953"/>
    <w:rsid w:val="00E10780"/>
    <w:rsid w:val="00E11FE3"/>
    <w:rsid w:val="00E161E8"/>
    <w:rsid w:val="00E2114A"/>
    <w:rsid w:val="00E220DB"/>
    <w:rsid w:val="00E324FB"/>
    <w:rsid w:val="00E33F94"/>
    <w:rsid w:val="00E54B0D"/>
    <w:rsid w:val="00F25D17"/>
    <w:rsid w:val="00F36DD8"/>
    <w:rsid w:val="00F47D07"/>
    <w:rsid w:val="00F74399"/>
    <w:rsid w:val="00F8614E"/>
    <w:rsid w:val="00FA2DB3"/>
    <w:rsid w:val="00FA443F"/>
    <w:rsid w:val="00FB47EB"/>
    <w:rsid w:val="00FC019F"/>
    <w:rsid w:val="00FC0457"/>
    <w:rsid w:val="00FC59DF"/>
    <w:rsid w:val="00FD0C8E"/>
    <w:rsid w:val="00FE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12981"/>
  <w15:docId w15:val="{587840C5-62F1-402E-A6B7-68975AA9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83FC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683FCB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84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43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84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8433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51D49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52AF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2AF6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semiHidden/>
    <w:rsid w:val="007F5004"/>
    <w:rPr>
      <w:sz w:val="21"/>
      <w:szCs w:val="21"/>
    </w:rPr>
  </w:style>
  <w:style w:type="paragraph" w:styleId="a9">
    <w:name w:val="annotation text"/>
    <w:basedOn w:val="a"/>
    <w:link w:val="Char3"/>
    <w:semiHidden/>
    <w:rsid w:val="007F5004"/>
    <w:pPr>
      <w:jc w:val="left"/>
    </w:pPr>
  </w:style>
  <w:style w:type="character" w:customStyle="1" w:styleId="Char3">
    <w:name w:val="批注文字 Char"/>
    <w:basedOn w:val="a0"/>
    <w:link w:val="a9"/>
    <w:semiHidden/>
    <w:rsid w:val="007F5004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59"/>
    <w:rsid w:val="00C80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A62BC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304</Words>
  <Characters>1737</Characters>
  <Application>Microsoft Office Word</Application>
  <DocSecurity>0</DocSecurity>
  <Lines>14</Lines>
  <Paragraphs>4</Paragraphs>
  <ScaleCrop>false</ScaleCrop>
  <Company>sse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郑妍</cp:lastModifiedBy>
  <cp:revision>171</cp:revision>
  <dcterms:created xsi:type="dcterms:W3CDTF">2013-06-28T08:05:00Z</dcterms:created>
  <dcterms:modified xsi:type="dcterms:W3CDTF">2025-04-29T01:11:00Z</dcterms:modified>
</cp:coreProperties>
</file>