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4CE" w:rsidRDefault="001E7A72">
      <w:pPr>
        <w:adjustRightInd w:val="0"/>
        <w:snapToGrid w:val="0"/>
        <w:spacing w:line="600" w:lineRule="exact"/>
        <w:rPr>
          <w:rFonts w:ascii="宋体" w:hAnsi="宋体"/>
          <w:b/>
          <w:bCs/>
          <w:sz w:val="28"/>
          <w:szCs w:val="28"/>
        </w:rPr>
      </w:pPr>
      <w:r>
        <w:rPr>
          <w:rFonts w:ascii="宋体" w:hAnsi="宋体" w:hint="eastAsia"/>
          <w:b/>
          <w:bCs/>
          <w:sz w:val="28"/>
          <w:szCs w:val="28"/>
        </w:rPr>
        <w:t>证券代码：</w:t>
      </w:r>
      <w:r w:rsidRPr="0091690C">
        <w:rPr>
          <w:b/>
          <w:bCs/>
          <w:sz w:val="28"/>
          <w:szCs w:val="28"/>
        </w:rPr>
        <w:t>688159</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 xml:space="preserve"> 证券简称：有方科技   公告编号：</w:t>
      </w:r>
      <w:r w:rsidRPr="0091690C">
        <w:rPr>
          <w:b/>
          <w:bCs/>
          <w:sz w:val="28"/>
          <w:szCs w:val="28"/>
        </w:rPr>
        <w:t>202</w:t>
      </w:r>
      <w:r w:rsidR="008B6223">
        <w:rPr>
          <w:b/>
          <w:bCs/>
          <w:sz w:val="28"/>
          <w:szCs w:val="28"/>
        </w:rPr>
        <w:t>5</w:t>
      </w:r>
      <w:r w:rsidRPr="000D4CD2">
        <w:rPr>
          <w:rFonts w:ascii="宋体" w:hAnsi="宋体"/>
          <w:b/>
          <w:bCs/>
          <w:sz w:val="28"/>
          <w:szCs w:val="28"/>
        </w:rPr>
        <w:t>-</w:t>
      </w:r>
      <w:r w:rsidRPr="000D4CD2">
        <w:rPr>
          <w:b/>
          <w:bCs/>
          <w:sz w:val="28"/>
          <w:szCs w:val="28"/>
        </w:rPr>
        <w:t>0</w:t>
      </w:r>
      <w:r w:rsidR="000D4CD2" w:rsidRPr="000D4CD2">
        <w:rPr>
          <w:b/>
          <w:bCs/>
          <w:sz w:val="28"/>
          <w:szCs w:val="28"/>
        </w:rPr>
        <w:t>3</w:t>
      </w:r>
      <w:r w:rsidR="000D4CD2">
        <w:rPr>
          <w:b/>
          <w:bCs/>
          <w:sz w:val="28"/>
          <w:szCs w:val="28"/>
        </w:rPr>
        <w:t>3</w:t>
      </w:r>
    </w:p>
    <w:p w:rsidR="002574CE" w:rsidRDefault="002574CE">
      <w:pPr>
        <w:adjustRightInd w:val="0"/>
        <w:snapToGrid w:val="0"/>
        <w:spacing w:line="600" w:lineRule="exact"/>
        <w:rPr>
          <w:rFonts w:ascii="仿宋_GB2312" w:eastAsia="仿宋_GB2312" w:hAnsi="宋体"/>
          <w:sz w:val="30"/>
          <w:szCs w:val="30"/>
        </w:rPr>
      </w:pPr>
    </w:p>
    <w:p w:rsidR="002574CE" w:rsidRDefault="001E7A72">
      <w:pPr>
        <w:adjustRightInd w:val="0"/>
        <w:snapToGrid w:val="0"/>
        <w:spacing w:line="600" w:lineRule="exact"/>
        <w:ind w:firstLine="510"/>
        <w:jc w:val="center"/>
        <w:rPr>
          <w:rFonts w:ascii="黑体" w:eastAsia="黑体" w:hAnsi="黑体"/>
          <w:b/>
          <w:sz w:val="44"/>
          <w:szCs w:val="44"/>
        </w:rPr>
      </w:pPr>
      <w:r>
        <w:rPr>
          <w:rFonts w:ascii="黑体" w:eastAsia="黑体" w:hAnsi="黑体" w:hint="eastAsia"/>
          <w:b/>
          <w:sz w:val="44"/>
          <w:szCs w:val="44"/>
        </w:rPr>
        <w:t>深圳市有方科技股份有限公司关于</w:t>
      </w:r>
    </w:p>
    <w:p w:rsidR="002574CE" w:rsidRDefault="008B6223">
      <w:pPr>
        <w:adjustRightInd w:val="0"/>
        <w:snapToGrid w:val="0"/>
        <w:spacing w:line="600" w:lineRule="exact"/>
        <w:ind w:firstLine="510"/>
        <w:jc w:val="center"/>
        <w:rPr>
          <w:rFonts w:ascii="黑体" w:eastAsia="黑体" w:hAnsi="黑体"/>
          <w:b/>
          <w:sz w:val="44"/>
          <w:szCs w:val="44"/>
        </w:rPr>
      </w:pPr>
      <w:r>
        <w:rPr>
          <w:rFonts w:ascii="黑体" w:eastAsia="黑体" w:hAnsi="黑体" w:hint="eastAsia"/>
          <w:b/>
          <w:sz w:val="44"/>
          <w:szCs w:val="44"/>
        </w:rPr>
        <w:t>调整</w:t>
      </w:r>
      <w:r w:rsidR="001E7A72">
        <w:rPr>
          <w:rFonts w:ascii="黑体" w:eastAsia="黑体" w:hAnsi="黑体" w:hint="eastAsia"/>
          <w:b/>
          <w:sz w:val="44"/>
          <w:szCs w:val="44"/>
        </w:rPr>
        <w:t>公司及子公司</w:t>
      </w:r>
      <w:r w:rsidR="001E7A72" w:rsidRPr="0091690C">
        <w:rPr>
          <w:rFonts w:eastAsia="黑体"/>
          <w:b/>
          <w:sz w:val="44"/>
          <w:szCs w:val="44"/>
        </w:rPr>
        <w:t>202</w:t>
      </w:r>
      <w:r w:rsidR="00866482">
        <w:rPr>
          <w:rFonts w:eastAsia="黑体"/>
          <w:b/>
          <w:sz w:val="44"/>
          <w:szCs w:val="44"/>
        </w:rPr>
        <w:t>5</w:t>
      </w:r>
      <w:r w:rsidR="001E7A72">
        <w:rPr>
          <w:rFonts w:ascii="黑体" w:eastAsia="黑体" w:hAnsi="黑体" w:hint="eastAsia"/>
          <w:b/>
          <w:sz w:val="44"/>
          <w:szCs w:val="44"/>
        </w:rPr>
        <w:t>年申请综合授信额度并为子公司提供担保的公告</w:t>
      </w:r>
    </w:p>
    <w:p w:rsidR="002574CE" w:rsidRDefault="002574CE">
      <w:pPr>
        <w:adjustRightInd w:val="0"/>
        <w:snapToGrid w:val="0"/>
        <w:spacing w:line="600" w:lineRule="exact"/>
        <w:ind w:firstLine="510"/>
        <w:jc w:val="center"/>
        <w:rPr>
          <w:rFonts w:ascii="仿宋_GB2312" w:eastAsia="仿宋_GB2312" w:hAnsi="宋体"/>
          <w:bCs/>
          <w:sz w:val="30"/>
          <w:szCs w:val="30"/>
        </w:rPr>
      </w:pPr>
    </w:p>
    <w:p w:rsidR="002574CE" w:rsidRDefault="001E7A72">
      <w:pPr>
        <w:pBdr>
          <w:top w:val="single" w:sz="4" w:space="1" w:color="auto"/>
          <w:left w:val="single" w:sz="4" w:space="4" w:color="auto"/>
          <w:bottom w:val="single" w:sz="4" w:space="12" w:color="auto"/>
          <w:right w:val="single" w:sz="4" w:space="4" w:color="auto"/>
        </w:pBdr>
        <w:adjustRightInd w:val="0"/>
        <w:snapToGrid w:val="0"/>
        <w:spacing w:line="600" w:lineRule="exact"/>
        <w:ind w:firstLineChars="200" w:firstLine="480"/>
        <w:rPr>
          <w:rFonts w:ascii="仿宋_GB2312" w:eastAsia="仿宋_GB2312" w:hAnsi="宋体"/>
          <w:color w:val="000000"/>
          <w:sz w:val="30"/>
          <w:szCs w:val="30"/>
        </w:rPr>
      </w:pPr>
      <w:r>
        <w:rPr>
          <w:rFonts w:ascii="宋体" w:hAnsi="宋体" w:hint="eastAsia"/>
          <w:color w:val="000000"/>
          <w:sz w:val="24"/>
        </w:rPr>
        <w:t>本公司董事会及全体董事保证本公告内容不存在任何虚假记载、误导性陈述或者重大遗漏，并对其内容的真实性、准确性和完整性依法承担法律责任。</w:t>
      </w:r>
    </w:p>
    <w:p w:rsidR="002574CE" w:rsidRDefault="002574CE">
      <w:pPr>
        <w:tabs>
          <w:tab w:val="left" w:pos="540"/>
          <w:tab w:val="left" w:pos="900"/>
        </w:tabs>
        <w:adjustRightInd w:val="0"/>
        <w:snapToGrid w:val="0"/>
        <w:spacing w:line="600" w:lineRule="exact"/>
        <w:ind w:firstLineChars="200" w:firstLine="600"/>
        <w:rPr>
          <w:rFonts w:ascii="仿宋_GB2312" w:eastAsia="仿宋_GB2312" w:hAnsi="宋体"/>
          <w:bCs/>
          <w:sz w:val="30"/>
          <w:szCs w:val="30"/>
        </w:rPr>
      </w:pPr>
    </w:p>
    <w:p w:rsidR="002574CE" w:rsidRDefault="001E7A72">
      <w:pPr>
        <w:tabs>
          <w:tab w:val="left" w:pos="540"/>
          <w:tab w:val="left" w:pos="900"/>
        </w:tabs>
        <w:adjustRightInd w:val="0"/>
        <w:snapToGrid w:val="0"/>
        <w:spacing w:line="600" w:lineRule="exact"/>
        <w:ind w:firstLineChars="200" w:firstLine="602"/>
        <w:rPr>
          <w:rFonts w:ascii="仿宋_GB2312" w:eastAsia="仿宋_GB2312" w:hAnsi="宋体"/>
          <w:b/>
          <w:bCs/>
          <w:sz w:val="30"/>
          <w:szCs w:val="30"/>
        </w:rPr>
      </w:pPr>
      <w:r>
        <w:rPr>
          <w:rFonts w:ascii="仿宋_GB2312" w:eastAsia="仿宋_GB2312" w:hAnsi="宋体" w:hint="eastAsia"/>
          <w:b/>
          <w:bCs/>
          <w:sz w:val="30"/>
          <w:szCs w:val="30"/>
        </w:rPr>
        <w:t>重要内容提示：</w:t>
      </w:r>
    </w:p>
    <w:p w:rsidR="002574CE" w:rsidRDefault="001E7A72">
      <w:pPr>
        <w:numPr>
          <w:ilvl w:val="0"/>
          <w:numId w:val="1"/>
        </w:numPr>
        <w:tabs>
          <w:tab w:val="left" w:pos="900"/>
        </w:tabs>
        <w:adjustRightInd w:val="0"/>
        <w:snapToGrid w:val="0"/>
        <w:spacing w:line="600" w:lineRule="exact"/>
        <w:ind w:left="0" w:firstLineChars="200" w:firstLine="560"/>
        <w:rPr>
          <w:rFonts w:ascii="宋体" w:hAnsi="宋体"/>
          <w:bCs/>
          <w:sz w:val="28"/>
          <w:szCs w:val="28"/>
        </w:rPr>
      </w:pPr>
      <w:r>
        <w:rPr>
          <w:rFonts w:ascii="宋体" w:hAnsi="宋体" w:hint="eastAsia"/>
          <w:bCs/>
          <w:sz w:val="28"/>
          <w:szCs w:val="28"/>
        </w:rPr>
        <w:t>深圳市有方科技股份有限公司（以下简称“公司”）</w:t>
      </w:r>
      <w:r w:rsidR="007E1092">
        <w:rPr>
          <w:rFonts w:ascii="宋体" w:hAnsi="宋体" w:hint="eastAsia"/>
          <w:bCs/>
          <w:sz w:val="28"/>
          <w:szCs w:val="28"/>
        </w:rPr>
        <w:t>根据经营发展及银行批复情况，拟将</w:t>
      </w:r>
      <w:r w:rsidRPr="0091690C">
        <w:rPr>
          <w:bCs/>
          <w:sz w:val="28"/>
          <w:szCs w:val="28"/>
        </w:rPr>
        <w:t>202</w:t>
      </w:r>
      <w:r w:rsidR="00866482">
        <w:rPr>
          <w:bCs/>
          <w:sz w:val="28"/>
          <w:szCs w:val="28"/>
        </w:rPr>
        <w:t>5</w:t>
      </w:r>
      <w:r>
        <w:rPr>
          <w:rFonts w:ascii="宋体" w:hAnsi="宋体" w:hint="eastAsia"/>
          <w:bCs/>
          <w:sz w:val="28"/>
          <w:szCs w:val="28"/>
        </w:rPr>
        <w:t>年向银行等金融机构申请综合授信额度</w:t>
      </w:r>
      <w:r w:rsidR="007E1092">
        <w:rPr>
          <w:rFonts w:ascii="宋体" w:hAnsi="宋体" w:hint="eastAsia"/>
          <w:bCs/>
          <w:sz w:val="28"/>
          <w:szCs w:val="28"/>
        </w:rPr>
        <w:t>自</w:t>
      </w:r>
      <w:r>
        <w:rPr>
          <w:rFonts w:ascii="宋体" w:hAnsi="宋体" w:hint="eastAsia"/>
          <w:bCs/>
          <w:sz w:val="28"/>
          <w:szCs w:val="28"/>
        </w:rPr>
        <w:t>不超过人民币</w:t>
      </w:r>
      <w:r w:rsidR="00866482">
        <w:rPr>
          <w:bCs/>
          <w:sz w:val="28"/>
          <w:szCs w:val="28"/>
        </w:rPr>
        <w:t>20</w:t>
      </w:r>
      <w:r>
        <w:rPr>
          <w:rFonts w:ascii="宋体" w:hAnsi="宋体" w:hint="eastAsia"/>
          <w:bCs/>
          <w:sz w:val="28"/>
          <w:szCs w:val="28"/>
        </w:rPr>
        <w:t>亿元（或等额美金</w:t>
      </w:r>
      <w:r w:rsidR="007E1092">
        <w:rPr>
          <w:rFonts w:ascii="宋体" w:hAnsi="宋体" w:hint="eastAsia"/>
          <w:bCs/>
          <w:sz w:val="28"/>
          <w:szCs w:val="28"/>
        </w:rPr>
        <w:t>，下同</w:t>
      </w:r>
      <w:r>
        <w:rPr>
          <w:rFonts w:ascii="宋体" w:hAnsi="宋体" w:hint="eastAsia"/>
          <w:bCs/>
          <w:sz w:val="28"/>
          <w:szCs w:val="28"/>
        </w:rPr>
        <w:t>）</w:t>
      </w:r>
      <w:r w:rsidR="007E1092">
        <w:rPr>
          <w:rFonts w:ascii="宋体" w:hAnsi="宋体" w:hint="eastAsia"/>
          <w:bCs/>
          <w:sz w:val="28"/>
          <w:szCs w:val="28"/>
        </w:rPr>
        <w:t>调整至4</w:t>
      </w:r>
      <w:r w:rsidR="007E1092">
        <w:rPr>
          <w:rFonts w:ascii="宋体" w:hAnsi="宋体"/>
          <w:bCs/>
          <w:sz w:val="28"/>
          <w:szCs w:val="28"/>
        </w:rPr>
        <w:t>0亿元</w:t>
      </w:r>
      <w:r>
        <w:rPr>
          <w:rFonts w:ascii="宋体" w:hAnsi="宋体" w:hint="eastAsia"/>
          <w:bCs/>
          <w:sz w:val="28"/>
          <w:szCs w:val="28"/>
        </w:rPr>
        <w:t>，公司之全资子公司有方通信技术（香港）有限公司和东莞有方物联网科技有限公司预计</w:t>
      </w:r>
      <w:r w:rsidRPr="0091690C">
        <w:rPr>
          <w:bCs/>
          <w:sz w:val="28"/>
          <w:szCs w:val="28"/>
        </w:rPr>
        <w:t>202</w:t>
      </w:r>
      <w:r w:rsidR="00866482">
        <w:rPr>
          <w:bCs/>
          <w:sz w:val="28"/>
          <w:szCs w:val="28"/>
        </w:rPr>
        <w:t>5</w:t>
      </w:r>
      <w:r>
        <w:rPr>
          <w:rFonts w:ascii="宋体" w:hAnsi="宋体" w:hint="eastAsia"/>
          <w:bCs/>
          <w:sz w:val="28"/>
          <w:szCs w:val="28"/>
        </w:rPr>
        <w:t>年向银行等金融机构申请综合授信额度</w:t>
      </w:r>
      <w:r w:rsidR="007E1092">
        <w:rPr>
          <w:rFonts w:ascii="宋体" w:hAnsi="宋体" w:hint="eastAsia"/>
          <w:bCs/>
          <w:sz w:val="28"/>
          <w:szCs w:val="28"/>
        </w:rPr>
        <w:t>自</w:t>
      </w:r>
      <w:r>
        <w:rPr>
          <w:rFonts w:ascii="宋体" w:hAnsi="宋体" w:hint="eastAsia"/>
          <w:bCs/>
          <w:sz w:val="28"/>
          <w:szCs w:val="28"/>
        </w:rPr>
        <w:t>不超过人民币</w:t>
      </w:r>
      <w:r w:rsidR="00866482">
        <w:rPr>
          <w:bCs/>
          <w:sz w:val="28"/>
          <w:szCs w:val="28"/>
        </w:rPr>
        <w:t>2</w:t>
      </w:r>
      <w:r>
        <w:rPr>
          <w:rFonts w:ascii="宋体" w:hAnsi="宋体" w:hint="eastAsia"/>
          <w:bCs/>
          <w:sz w:val="28"/>
          <w:szCs w:val="28"/>
        </w:rPr>
        <w:t>亿元</w:t>
      </w:r>
      <w:r w:rsidR="007E1092">
        <w:rPr>
          <w:rFonts w:ascii="宋体" w:hAnsi="宋体" w:hint="eastAsia"/>
          <w:bCs/>
          <w:sz w:val="28"/>
          <w:szCs w:val="28"/>
        </w:rPr>
        <w:t>调整至4亿元</w:t>
      </w:r>
      <w:r>
        <w:rPr>
          <w:rFonts w:ascii="宋体" w:hAnsi="宋体" w:hint="eastAsia"/>
          <w:bCs/>
          <w:sz w:val="28"/>
          <w:szCs w:val="28"/>
        </w:rPr>
        <w:t>。</w:t>
      </w:r>
    </w:p>
    <w:p w:rsidR="002574CE" w:rsidRDefault="001E7A72">
      <w:pPr>
        <w:numPr>
          <w:ilvl w:val="0"/>
          <w:numId w:val="1"/>
        </w:numPr>
        <w:tabs>
          <w:tab w:val="left" w:pos="900"/>
        </w:tabs>
        <w:adjustRightInd w:val="0"/>
        <w:snapToGrid w:val="0"/>
        <w:spacing w:line="600" w:lineRule="exact"/>
        <w:ind w:left="0" w:firstLineChars="200" w:firstLine="560"/>
        <w:rPr>
          <w:rFonts w:ascii="宋体" w:hAnsi="宋体"/>
          <w:bCs/>
          <w:sz w:val="28"/>
          <w:szCs w:val="28"/>
        </w:rPr>
      </w:pPr>
      <w:r>
        <w:rPr>
          <w:rFonts w:ascii="宋体" w:hAnsi="宋体" w:hint="eastAsia"/>
          <w:bCs/>
          <w:sz w:val="28"/>
          <w:szCs w:val="28"/>
        </w:rPr>
        <w:t>公司拟为上述全资子公司向银行等金融机构申请综合授信额度提供担保额度</w:t>
      </w:r>
      <w:r>
        <w:rPr>
          <w:rFonts w:ascii="宋体" w:hAnsi="宋体" w:hint="eastAsia"/>
          <w:sz w:val="28"/>
          <w:szCs w:val="28"/>
        </w:rPr>
        <w:t>合计</w:t>
      </w:r>
      <w:r w:rsidR="007E1092">
        <w:rPr>
          <w:rFonts w:ascii="宋体" w:hAnsi="宋体" w:hint="eastAsia"/>
          <w:sz w:val="28"/>
          <w:szCs w:val="28"/>
        </w:rPr>
        <w:t>自</w:t>
      </w:r>
      <w:r>
        <w:rPr>
          <w:rFonts w:ascii="宋体" w:hAnsi="宋体" w:hint="eastAsia"/>
          <w:sz w:val="28"/>
          <w:szCs w:val="28"/>
        </w:rPr>
        <w:t>不超过人民币</w:t>
      </w:r>
      <w:r w:rsidR="00866482">
        <w:rPr>
          <w:sz w:val="28"/>
          <w:szCs w:val="28"/>
        </w:rPr>
        <w:t>2</w:t>
      </w:r>
      <w:r>
        <w:rPr>
          <w:rFonts w:ascii="宋体" w:hAnsi="宋体" w:hint="eastAsia"/>
          <w:sz w:val="28"/>
          <w:szCs w:val="28"/>
        </w:rPr>
        <w:t>亿元</w:t>
      </w:r>
      <w:r w:rsidR="007E1092">
        <w:rPr>
          <w:rFonts w:ascii="宋体" w:hAnsi="宋体" w:hint="eastAsia"/>
          <w:sz w:val="28"/>
          <w:szCs w:val="28"/>
        </w:rPr>
        <w:t>调整至4亿元</w:t>
      </w:r>
      <w:r>
        <w:rPr>
          <w:rFonts w:ascii="宋体" w:hAnsi="宋体" w:hint="eastAsia"/>
          <w:sz w:val="28"/>
          <w:szCs w:val="28"/>
        </w:rPr>
        <w:t>，担保方式为连带责任担保。</w:t>
      </w:r>
    </w:p>
    <w:p w:rsidR="002574CE" w:rsidRDefault="001E7A72">
      <w:pPr>
        <w:numPr>
          <w:ilvl w:val="0"/>
          <w:numId w:val="1"/>
        </w:numPr>
        <w:tabs>
          <w:tab w:val="clear" w:pos="780"/>
          <w:tab w:val="left" w:pos="426"/>
        </w:tabs>
        <w:adjustRightInd w:val="0"/>
        <w:snapToGrid w:val="0"/>
        <w:spacing w:line="600" w:lineRule="exact"/>
        <w:ind w:left="0" w:firstLine="567"/>
        <w:rPr>
          <w:rFonts w:ascii="宋体" w:hAnsi="宋体"/>
          <w:bCs/>
          <w:sz w:val="28"/>
          <w:szCs w:val="28"/>
        </w:rPr>
      </w:pPr>
      <w:r>
        <w:rPr>
          <w:rFonts w:ascii="宋体" w:hAnsi="宋体" w:hint="eastAsia"/>
          <w:sz w:val="28"/>
          <w:szCs w:val="28"/>
        </w:rPr>
        <w:t>截至公告披露日，公司及其子公司实际对外担保余额人民币</w:t>
      </w:r>
      <w:r w:rsidR="001D02D5" w:rsidRPr="00295729">
        <w:rPr>
          <w:sz w:val="28"/>
          <w:szCs w:val="28"/>
        </w:rPr>
        <w:t>0</w:t>
      </w:r>
      <w:r w:rsidRPr="00295729">
        <w:rPr>
          <w:rFonts w:ascii="宋体" w:hAnsi="宋体" w:hint="eastAsia"/>
          <w:sz w:val="28"/>
          <w:szCs w:val="28"/>
        </w:rPr>
        <w:t>万元，占公司</w:t>
      </w:r>
      <w:r w:rsidRPr="00295729">
        <w:rPr>
          <w:sz w:val="28"/>
          <w:szCs w:val="28"/>
        </w:rPr>
        <w:t>202</w:t>
      </w:r>
      <w:r w:rsidR="006B407B">
        <w:rPr>
          <w:sz w:val="28"/>
          <w:szCs w:val="28"/>
        </w:rPr>
        <w:t>4</w:t>
      </w:r>
      <w:r w:rsidRPr="00295729">
        <w:rPr>
          <w:rFonts w:ascii="宋体" w:hAnsi="宋体" w:hint="eastAsia"/>
          <w:sz w:val="28"/>
          <w:szCs w:val="28"/>
        </w:rPr>
        <w:t>年度经审计净资产的比例为</w:t>
      </w:r>
      <w:r w:rsidR="001D02D5" w:rsidRPr="00295729">
        <w:rPr>
          <w:sz w:val="28"/>
          <w:szCs w:val="28"/>
        </w:rPr>
        <w:t>0</w:t>
      </w:r>
      <w:r w:rsidRPr="00295729">
        <w:rPr>
          <w:rFonts w:ascii="宋体" w:hAnsi="宋体" w:hint="eastAsia"/>
          <w:sz w:val="28"/>
          <w:szCs w:val="28"/>
        </w:rPr>
        <w:t>%。除此之外，公</w:t>
      </w:r>
      <w:r>
        <w:rPr>
          <w:rFonts w:ascii="宋体" w:hAnsi="宋体" w:hint="eastAsia"/>
          <w:sz w:val="28"/>
          <w:szCs w:val="28"/>
        </w:rPr>
        <w:t>司及子公司未对合并报表外单位提供担保，也无逾期担保事项，且不存</w:t>
      </w:r>
      <w:r>
        <w:rPr>
          <w:rFonts w:ascii="宋体" w:hAnsi="宋体" w:hint="eastAsia"/>
          <w:sz w:val="28"/>
          <w:szCs w:val="28"/>
        </w:rPr>
        <w:lastRenderedPageBreak/>
        <w:t>在涉及诉讼的对外担保及因担保被判决败诉而应承担损失之情形。</w:t>
      </w:r>
    </w:p>
    <w:p w:rsidR="002574CE" w:rsidRDefault="001E7A72">
      <w:pPr>
        <w:numPr>
          <w:ilvl w:val="0"/>
          <w:numId w:val="1"/>
        </w:numPr>
        <w:adjustRightInd w:val="0"/>
        <w:snapToGrid w:val="0"/>
        <w:spacing w:line="600" w:lineRule="exact"/>
        <w:rPr>
          <w:rFonts w:ascii="宋体" w:hAnsi="宋体"/>
          <w:sz w:val="28"/>
          <w:szCs w:val="28"/>
        </w:rPr>
      </w:pPr>
      <w:r>
        <w:rPr>
          <w:rFonts w:ascii="宋体" w:hAnsi="宋体" w:hint="eastAsia"/>
          <w:sz w:val="28"/>
          <w:szCs w:val="28"/>
        </w:rPr>
        <w:t>本次担保是否有反担保：否。</w:t>
      </w:r>
    </w:p>
    <w:p w:rsidR="002574CE" w:rsidRDefault="001E7A72">
      <w:pPr>
        <w:numPr>
          <w:ilvl w:val="0"/>
          <w:numId w:val="1"/>
        </w:numPr>
        <w:adjustRightInd w:val="0"/>
        <w:snapToGrid w:val="0"/>
        <w:spacing w:line="600" w:lineRule="exact"/>
        <w:rPr>
          <w:rFonts w:ascii="宋体" w:hAnsi="宋体"/>
          <w:sz w:val="28"/>
          <w:szCs w:val="28"/>
        </w:rPr>
      </w:pPr>
      <w:r>
        <w:rPr>
          <w:rFonts w:ascii="宋体" w:hAnsi="宋体" w:hint="eastAsia"/>
          <w:sz w:val="28"/>
          <w:szCs w:val="28"/>
        </w:rPr>
        <w:t>对外担保逾期的累计金额：无逾期对外担保。</w:t>
      </w:r>
    </w:p>
    <w:p w:rsidR="002574CE" w:rsidRDefault="001E7A72">
      <w:pPr>
        <w:numPr>
          <w:ilvl w:val="0"/>
          <w:numId w:val="1"/>
        </w:numPr>
        <w:adjustRightInd w:val="0"/>
        <w:snapToGrid w:val="0"/>
        <w:spacing w:line="600" w:lineRule="exact"/>
        <w:rPr>
          <w:rFonts w:ascii="宋体" w:hAnsi="宋体"/>
          <w:bCs/>
          <w:sz w:val="28"/>
          <w:szCs w:val="28"/>
        </w:rPr>
      </w:pPr>
      <w:r>
        <w:rPr>
          <w:rFonts w:ascii="宋体" w:hAnsi="宋体" w:hint="eastAsia"/>
          <w:sz w:val="28"/>
          <w:szCs w:val="28"/>
        </w:rPr>
        <w:t>上述事项</w:t>
      </w:r>
      <w:r w:rsidR="006B407B">
        <w:rPr>
          <w:rFonts w:ascii="宋体" w:hAnsi="宋体" w:hint="eastAsia"/>
          <w:sz w:val="28"/>
          <w:szCs w:val="28"/>
        </w:rPr>
        <w:t>尚</w:t>
      </w:r>
      <w:r>
        <w:rPr>
          <w:rFonts w:ascii="宋体" w:hAnsi="宋体" w:hint="eastAsia"/>
          <w:sz w:val="28"/>
          <w:szCs w:val="28"/>
        </w:rPr>
        <w:t>需经过</w:t>
      </w:r>
      <w:r w:rsidRPr="0091690C">
        <w:rPr>
          <w:sz w:val="28"/>
          <w:szCs w:val="28"/>
        </w:rPr>
        <w:t>202</w:t>
      </w:r>
      <w:r w:rsidR="007E1092">
        <w:rPr>
          <w:sz w:val="28"/>
          <w:szCs w:val="28"/>
        </w:rPr>
        <w:t>4</w:t>
      </w:r>
      <w:r>
        <w:rPr>
          <w:rFonts w:ascii="宋体" w:hAnsi="宋体" w:hint="eastAsia"/>
          <w:sz w:val="28"/>
          <w:szCs w:val="28"/>
        </w:rPr>
        <w:t>年</w:t>
      </w:r>
      <w:r w:rsidR="007E1092">
        <w:rPr>
          <w:rFonts w:ascii="宋体" w:hAnsi="宋体" w:hint="eastAsia"/>
          <w:sz w:val="28"/>
          <w:szCs w:val="28"/>
        </w:rPr>
        <w:t>度</w:t>
      </w:r>
      <w:r>
        <w:rPr>
          <w:rFonts w:ascii="宋体" w:hAnsi="宋体" w:hint="eastAsia"/>
          <w:sz w:val="28"/>
          <w:szCs w:val="28"/>
        </w:rPr>
        <w:t>股东大会审议通过。</w:t>
      </w:r>
    </w:p>
    <w:p w:rsidR="002574CE" w:rsidRDefault="001E7A72">
      <w:pPr>
        <w:tabs>
          <w:tab w:val="left" w:pos="900"/>
        </w:tabs>
        <w:adjustRightInd w:val="0"/>
        <w:snapToGrid w:val="0"/>
        <w:spacing w:line="600" w:lineRule="exact"/>
        <w:ind w:firstLine="557"/>
        <w:rPr>
          <w:rFonts w:ascii="宋体" w:hAnsi="宋体"/>
          <w:bCs/>
          <w:sz w:val="28"/>
          <w:szCs w:val="28"/>
        </w:rPr>
      </w:pPr>
      <w:r w:rsidRPr="0091690C">
        <w:rPr>
          <w:bCs/>
          <w:sz w:val="28"/>
          <w:szCs w:val="28"/>
        </w:rPr>
        <w:t>202</w:t>
      </w:r>
      <w:r w:rsidR="006B407B">
        <w:rPr>
          <w:bCs/>
          <w:sz w:val="28"/>
          <w:szCs w:val="28"/>
        </w:rPr>
        <w:t>5</w:t>
      </w:r>
      <w:r>
        <w:rPr>
          <w:rFonts w:ascii="宋体" w:hAnsi="宋体" w:hint="eastAsia"/>
          <w:bCs/>
          <w:sz w:val="28"/>
          <w:szCs w:val="28"/>
        </w:rPr>
        <w:t>年</w:t>
      </w:r>
      <w:r w:rsidR="006B407B">
        <w:rPr>
          <w:bCs/>
          <w:sz w:val="28"/>
          <w:szCs w:val="28"/>
        </w:rPr>
        <w:t>4</w:t>
      </w:r>
      <w:r>
        <w:rPr>
          <w:rFonts w:ascii="宋体" w:hAnsi="宋体" w:hint="eastAsia"/>
          <w:bCs/>
          <w:sz w:val="28"/>
          <w:szCs w:val="28"/>
        </w:rPr>
        <w:t>月</w:t>
      </w:r>
      <w:r w:rsidR="006B407B">
        <w:rPr>
          <w:bCs/>
          <w:sz w:val="28"/>
          <w:szCs w:val="28"/>
        </w:rPr>
        <w:t>29</w:t>
      </w:r>
      <w:r>
        <w:rPr>
          <w:rFonts w:ascii="宋体" w:hAnsi="宋体" w:hint="eastAsia"/>
          <w:bCs/>
          <w:sz w:val="28"/>
          <w:szCs w:val="28"/>
        </w:rPr>
        <w:t>日，公司召开第</w:t>
      </w:r>
      <w:r w:rsidR="00866482">
        <w:rPr>
          <w:rFonts w:ascii="宋体" w:hAnsi="宋体" w:hint="eastAsia"/>
          <w:bCs/>
          <w:sz w:val="28"/>
          <w:szCs w:val="28"/>
        </w:rPr>
        <w:t>四</w:t>
      </w:r>
      <w:r>
        <w:rPr>
          <w:rFonts w:ascii="宋体" w:hAnsi="宋体" w:hint="eastAsia"/>
          <w:bCs/>
          <w:sz w:val="28"/>
          <w:szCs w:val="28"/>
        </w:rPr>
        <w:t>届董事会第</w:t>
      </w:r>
      <w:r w:rsidR="006B407B">
        <w:rPr>
          <w:rFonts w:ascii="宋体" w:hAnsi="宋体" w:hint="eastAsia"/>
          <w:bCs/>
          <w:sz w:val="28"/>
          <w:szCs w:val="28"/>
        </w:rPr>
        <w:t>五</w:t>
      </w:r>
      <w:r>
        <w:rPr>
          <w:rFonts w:ascii="宋体" w:hAnsi="宋体" w:hint="eastAsia"/>
          <w:bCs/>
          <w:sz w:val="28"/>
          <w:szCs w:val="28"/>
        </w:rPr>
        <w:t>次会议，审议通过了《关于</w:t>
      </w:r>
      <w:r w:rsidR="006B407B">
        <w:rPr>
          <w:rFonts w:ascii="宋体" w:hAnsi="宋体" w:hint="eastAsia"/>
          <w:bCs/>
          <w:sz w:val="28"/>
          <w:szCs w:val="28"/>
        </w:rPr>
        <w:t>审议调整</w:t>
      </w:r>
      <w:r>
        <w:rPr>
          <w:rFonts w:ascii="宋体" w:hAnsi="宋体" w:hint="eastAsia"/>
          <w:bCs/>
          <w:sz w:val="28"/>
          <w:szCs w:val="28"/>
        </w:rPr>
        <w:t>预计公司</w:t>
      </w:r>
      <w:r w:rsidRPr="0091690C">
        <w:rPr>
          <w:bCs/>
          <w:sz w:val="28"/>
          <w:szCs w:val="28"/>
        </w:rPr>
        <w:t>202</w:t>
      </w:r>
      <w:r w:rsidR="00866482">
        <w:rPr>
          <w:bCs/>
          <w:sz w:val="28"/>
          <w:szCs w:val="28"/>
        </w:rPr>
        <w:t>5</w:t>
      </w:r>
      <w:r>
        <w:rPr>
          <w:rFonts w:ascii="宋体" w:hAnsi="宋体" w:hint="eastAsia"/>
          <w:bCs/>
          <w:sz w:val="28"/>
          <w:szCs w:val="28"/>
        </w:rPr>
        <w:t>年度向银行等金融机构申请综合授信的议案》《关于</w:t>
      </w:r>
      <w:r w:rsidR="006B407B">
        <w:rPr>
          <w:rFonts w:ascii="宋体" w:hAnsi="宋体" w:hint="eastAsia"/>
          <w:bCs/>
          <w:sz w:val="28"/>
          <w:szCs w:val="28"/>
        </w:rPr>
        <w:t>审议调整</w:t>
      </w:r>
      <w:r>
        <w:rPr>
          <w:rFonts w:ascii="宋体" w:hAnsi="宋体" w:hint="eastAsia"/>
          <w:bCs/>
          <w:sz w:val="28"/>
          <w:szCs w:val="28"/>
        </w:rPr>
        <w:t>公司之全资子公司</w:t>
      </w:r>
      <w:r w:rsidRPr="0091690C">
        <w:rPr>
          <w:bCs/>
          <w:sz w:val="28"/>
          <w:szCs w:val="28"/>
        </w:rPr>
        <w:t>202</w:t>
      </w:r>
      <w:r w:rsidR="00866482">
        <w:rPr>
          <w:bCs/>
          <w:sz w:val="28"/>
          <w:szCs w:val="28"/>
        </w:rPr>
        <w:t>5</w:t>
      </w:r>
      <w:r>
        <w:rPr>
          <w:rFonts w:ascii="宋体" w:hAnsi="宋体" w:hint="eastAsia"/>
          <w:bCs/>
          <w:sz w:val="28"/>
          <w:szCs w:val="28"/>
        </w:rPr>
        <w:t>年度向银行等金融机构申请综合授信的议案》《关于</w:t>
      </w:r>
      <w:r w:rsidR="006B407B">
        <w:rPr>
          <w:rFonts w:ascii="宋体" w:hAnsi="宋体" w:hint="eastAsia"/>
          <w:bCs/>
          <w:sz w:val="28"/>
          <w:szCs w:val="28"/>
        </w:rPr>
        <w:t>审议调整</w:t>
      </w:r>
      <w:r>
        <w:rPr>
          <w:rFonts w:ascii="宋体" w:hAnsi="宋体" w:hint="eastAsia"/>
          <w:bCs/>
          <w:sz w:val="28"/>
          <w:szCs w:val="28"/>
        </w:rPr>
        <w:t>公司为全资子公司</w:t>
      </w:r>
      <w:r w:rsidRPr="0091690C">
        <w:rPr>
          <w:bCs/>
          <w:sz w:val="28"/>
          <w:szCs w:val="28"/>
        </w:rPr>
        <w:t>202</w:t>
      </w:r>
      <w:r w:rsidR="00866482">
        <w:rPr>
          <w:bCs/>
          <w:sz w:val="28"/>
          <w:szCs w:val="28"/>
        </w:rPr>
        <w:t>5</w:t>
      </w:r>
      <w:r>
        <w:rPr>
          <w:rFonts w:ascii="宋体" w:hAnsi="宋体" w:hint="eastAsia"/>
          <w:bCs/>
          <w:sz w:val="28"/>
          <w:szCs w:val="28"/>
        </w:rPr>
        <w:t>年度向银行等金融机构申请综合授信提供担保的议案》等议案，现将相关事项公告如下：</w:t>
      </w:r>
    </w:p>
    <w:p w:rsidR="002574CE" w:rsidRDefault="001E7A72">
      <w:pPr>
        <w:widowControl/>
        <w:spacing w:line="60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一、申请综合授信额度</w:t>
      </w:r>
      <w:r w:rsidR="006B407B">
        <w:rPr>
          <w:rFonts w:ascii="宋体" w:hAnsi="宋体" w:cs="宋体" w:hint="eastAsia"/>
          <w:b/>
          <w:color w:val="000000"/>
          <w:kern w:val="0"/>
          <w:sz w:val="28"/>
          <w:szCs w:val="28"/>
        </w:rPr>
        <w:t>调整</w:t>
      </w:r>
      <w:r>
        <w:rPr>
          <w:rFonts w:ascii="宋体" w:hAnsi="宋体" w:cs="宋体" w:hint="eastAsia"/>
          <w:b/>
          <w:color w:val="000000"/>
          <w:kern w:val="0"/>
          <w:sz w:val="28"/>
          <w:szCs w:val="28"/>
        </w:rPr>
        <w:t>情况概述</w:t>
      </w:r>
    </w:p>
    <w:p w:rsidR="002574CE" w:rsidRPr="006B407B" w:rsidRDefault="001E7A72" w:rsidP="006B407B">
      <w:pPr>
        <w:widowControl/>
        <w:spacing w:line="600" w:lineRule="exact"/>
        <w:ind w:firstLineChars="200" w:firstLine="560"/>
        <w:rPr>
          <w:color w:val="000000"/>
          <w:sz w:val="28"/>
          <w:szCs w:val="28"/>
        </w:rPr>
      </w:pPr>
      <w:r>
        <w:rPr>
          <w:rFonts w:hint="eastAsia"/>
          <w:color w:val="000000"/>
          <w:sz w:val="28"/>
          <w:szCs w:val="28"/>
        </w:rPr>
        <w:t>公司</w:t>
      </w:r>
      <w:r w:rsidR="006B407B" w:rsidRPr="006B407B">
        <w:rPr>
          <w:rFonts w:hint="eastAsia"/>
          <w:color w:val="000000"/>
          <w:sz w:val="28"/>
          <w:szCs w:val="28"/>
        </w:rPr>
        <w:t>此前于</w:t>
      </w:r>
      <w:r w:rsidR="006B407B" w:rsidRPr="006B407B">
        <w:rPr>
          <w:rFonts w:hint="eastAsia"/>
          <w:color w:val="000000"/>
          <w:sz w:val="28"/>
          <w:szCs w:val="28"/>
        </w:rPr>
        <w:t>2024</w:t>
      </w:r>
      <w:r w:rsidR="006B407B" w:rsidRPr="006B407B">
        <w:rPr>
          <w:rFonts w:hint="eastAsia"/>
          <w:color w:val="000000"/>
          <w:sz w:val="28"/>
          <w:szCs w:val="28"/>
        </w:rPr>
        <w:t>年</w:t>
      </w:r>
      <w:r w:rsidR="006B407B" w:rsidRPr="006B407B">
        <w:rPr>
          <w:rFonts w:hint="eastAsia"/>
          <w:color w:val="000000"/>
          <w:sz w:val="28"/>
          <w:szCs w:val="28"/>
        </w:rPr>
        <w:t>12</w:t>
      </w:r>
      <w:r w:rsidR="006B407B" w:rsidRPr="006B407B">
        <w:rPr>
          <w:rFonts w:hint="eastAsia"/>
          <w:color w:val="000000"/>
          <w:sz w:val="28"/>
          <w:szCs w:val="28"/>
        </w:rPr>
        <w:t>月</w:t>
      </w:r>
      <w:r w:rsidR="006B407B" w:rsidRPr="006B407B">
        <w:rPr>
          <w:rFonts w:hint="eastAsia"/>
          <w:color w:val="000000"/>
          <w:sz w:val="28"/>
          <w:szCs w:val="28"/>
        </w:rPr>
        <w:t>30</w:t>
      </w:r>
      <w:r w:rsidR="006B407B">
        <w:rPr>
          <w:rFonts w:hint="eastAsia"/>
          <w:color w:val="000000"/>
          <w:sz w:val="28"/>
          <w:szCs w:val="28"/>
        </w:rPr>
        <w:t>日召开第四届董事会第一次会议，</w:t>
      </w:r>
      <w:r w:rsidR="006B407B" w:rsidRPr="006B407B">
        <w:rPr>
          <w:rFonts w:hint="eastAsia"/>
          <w:color w:val="000000"/>
          <w:sz w:val="28"/>
          <w:szCs w:val="28"/>
        </w:rPr>
        <w:t>2025</w:t>
      </w:r>
      <w:r w:rsidR="006B407B" w:rsidRPr="006B407B">
        <w:rPr>
          <w:rFonts w:hint="eastAsia"/>
          <w:color w:val="000000"/>
          <w:sz w:val="28"/>
          <w:szCs w:val="28"/>
        </w:rPr>
        <w:t>年</w:t>
      </w:r>
      <w:r w:rsidR="006B407B" w:rsidRPr="006B407B">
        <w:rPr>
          <w:rFonts w:hint="eastAsia"/>
          <w:color w:val="000000"/>
          <w:sz w:val="28"/>
          <w:szCs w:val="28"/>
        </w:rPr>
        <w:t>1</w:t>
      </w:r>
      <w:r w:rsidR="006B407B" w:rsidRPr="006B407B">
        <w:rPr>
          <w:rFonts w:hint="eastAsia"/>
          <w:color w:val="000000"/>
          <w:sz w:val="28"/>
          <w:szCs w:val="28"/>
        </w:rPr>
        <w:t>月</w:t>
      </w:r>
      <w:r w:rsidR="006B407B" w:rsidRPr="006B407B">
        <w:rPr>
          <w:rFonts w:hint="eastAsia"/>
          <w:color w:val="000000"/>
          <w:sz w:val="28"/>
          <w:szCs w:val="28"/>
        </w:rPr>
        <w:t>16</w:t>
      </w:r>
      <w:r w:rsidR="006B407B" w:rsidRPr="006B407B">
        <w:rPr>
          <w:rFonts w:hint="eastAsia"/>
          <w:color w:val="000000"/>
          <w:sz w:val="28"/>
          <w:szCs w:val="28"/>
        </w:rPr>
        <w:t>日召开</w:t>
      </w:r>
      <w:r w:rsidR="006B407B" w:rsidRPr="006B407B">
        <w:rPr>
          <w:rFonts w:hint="eastAsia"/>
          <w:color w:val="000000"/>
          <w:sz w:val="28"/>
          <w:szCs w:val="28"/>
        </w:rPr>
        <w:t>2025</w:t>
      </w:r>
      <w:r w:rsidR="006B407B" w:rsidRPr="006B407B">
        <w:rPr>
          <w:rFonts w:hint="eastAsia"/>
          <w:color w:val="000000"/>
          <w:sz w:val="28"/>
          <w:szCs w:val="28"/>
        </w:rPr>
        <w:t>年第一次临时股东大会，审议通过了《关于预计公司</w:t>
      </w:r>
      <w:r w:rsidR="006B407B" w:rsidRPr="006B407B">
        <w:rPr>
          <w:rFonts w:hint="eastAsia"/>
          <w:color w:val="000000"/>
          <w:sz w:val="28"/>
          <w:szCs w:val="28"/>
        </w:rPr>
        <w:t>2025</w:t>
      </w:r>
      <w:r w:rsidR="006B407B" w:rsidRPr="006B407B">
        <w:rPr>
          <w:rFonts w:hint="eastAsia"/>
          <w:color w:val="000000"/>
          <w:sz w:val="28"/>
          <w:szCs w:val="28"/>
        </w:rPr>
        <w:t>年度向银行等金融机构申请综合授信的议案》《关于预计公司之全资子公司</w:t>
      </w:r>
      <w:r w:rsidR="006B407B" w:rsidRPr="006B407B">
        <w:rPr>
          <w:rFonts w:hint="eastAsia"/>
          <w:color w:val="000000"/>
          <w:sz w:val="28"/>
          <w:szCs w:val="28"/>
        </w:rPr>
        <w:t>2025</w:t>
      </w:r>
      <w:r w:rsidR="006B407B" w:rsidRPr="006B407B">
        <w:rPr>
          <w:rFonts w:hint="eastAsia"/>
          <w:color w:val="000000"/>
          <w:sz w:val="28"/>
          <w:szCs w:val="28"/>
        </w:rPr>
        <w:t>年度向银行等金融机构申请综合授信的议案》《关于公司为公司之全资子公司</w:t>
      </w:r>
      <w:r w:rsidR="006B407B" w:rsidRPr="006B407B">
        <w:rPr>
          <w:rFonts w:hint="eastAsia"/>
          <w:color w:val="000000"/>
          <w:sz w:val="28"/>
          <w:szCs w:val="28"/>
        </w:rPr>
        <w:t>2025</w:t>
      </w:r>
      <w:r w:rsidR="006B407B" w:rsidRPr="006B407B">
        <w:rPr>
          <w:rFonts w:hint="eastAsia"/>
          <w:color w:val="000000"/>
          <w:sz w:val="28"/>
          <w:szCs w:val="28"/>
        </w:rPr>
        <w:t>年度向银行等金融机构申请综合授信提供担保的议案》等相关议案，公司</w:t>
      </w:r>
      <w:r w:rsidR="006B407B" w:rsidRPr="006B407B">
        <w:rPr>
          <w:rFonts w:hint="eastAsia"/>
          <w:color w:val="000000"/>
          <w:sz w:val="28"/>
          <w:szCs w:val="28"/>
        </w:rPr>
        <w:t>2025</w:t>
      </w:r>
      <w:r w:rsidR="006B407B" w:rsidRPr="006B407B">
        <w:rPr>
          <w:rFonts w:hint="eastAsia"/>
          <w:color w:val="000000"/>
          <w:sz w:val="28"/>
          <w:szCs w:val="28"/>
        </w:rPr>
        <w:t>年拟向多家银行和金融机构申请综合授信总额度不超过人民币</w:t>
      </w:r>
      <w:r w:rsidR="006B407B" w:rsidRPr="006B407B">
        <w:rPr>
          <w:rFonts w:hint="eastAsia"/>
          <w:color w:val="000000"/>
          <w:sz w:val="28"/>
          <w:szCs w:val="28"/>
        </w:rPr>
        <w:t>20</w:t>
      </w:r>
      <w:r w:rsidR="006B407B" w:rsidRPr="006B407B">
        <w:rPr>
          <w:rFonts w:hint="eastAsia"/>
          <w:color w:val="000000"/>
          <w:sz w:val="28"/>
          <w:szCs w:val="28"/>
        </w:rPr>
        <w:t>亿元（或等额美金）。</w:t>
      </w:r>
      <w:r>
        <w:rPr>
          <w:rFonts w:hint="eastAsia"/>
          <w:color w:val="000000"/>
          <w:sz w:val="28"/>
          <w:szCs w:val="28"/>
        </w:rPr>
        <w:t>全资子公司预计申请综合授信额度不超过人民币</w:t>
      </w:r>
      <w:r w:rsidR="00866482">
        <w:rPr>
          <w:color w:val="000000"/>
          <w:sz w:val="28"/>
          <w:szCs w:val="28"/>
        </w:rPr>
        <w:t>2</w:t>
      </w:r>
      <w:r>
        <w:rPr>
          <w:rFonts w:hint="eastAsia"/>
          <w:color w:val="000000"/>
          <w:sz w:val="28"/>
          <w:szCs w:val="28"/>
        </w:rPr>
        <w:t>亿元，</w:t>
      </w:r>
      <w:r w:rsidR="006B407B">
        <w:rPr>
          <w:rFonts w:hint="eastAsia"/>
          <w:color w:val="000000"/>
          <w:sz w:val="28"/>
          <w:szCs w:val="28"/>
        </w:rPr>
        <w:t>公司</w:t>
      </w:r>
      <w:r w:rsidR="006B407B" w:rsidRPr="006B407B">
        <w:rPr>
          <w:rFonts w:hint="eastAsia"/>
          <w:color w:val="000000"/>
          <w:sz w:val="28"/>
          <w:szCs w:val="28"/>
        </w:rPr>
        <w:t>为公司之全资子公司</w:t>
      </w:r>
      <w:r w:rsidR="006B407B" w:rsidRPr="006B407B">
        <w:rPr>
          <w:rFonts w:hint="eastAsia"/>
          <w:color w:val="000000"/>
          <w:sz w:val="28"/>
          <w:szCs w:val="28"/>
        </w:rPr>
        <w:t>2025</w:t>
      </w:r>
      <w:r w:rsidR="006B407B" w:rsidRPr="006B407B">
        <w:rPr>
          <w:rFonts w:hint="eastAsia"/>
          <w:color w:val="000000"/>
          <w:sz w:val="28"/>
          <w:szCs w:val="28"/>
        </w:rPr>
        <w:t>年度向银行申请的综合授信提供连带责任担保，在任意时点公司对全资子公司的银行授信担保额度均不超过人民币</w:t>
      </w:r>
      <w:r w:rsidR="006B407B" w:rsidRPr="006B407B">
        <w:rPr>
          <w:rFonts w:hint="eastAsia"/>
          <w:color w:val="000000"/>
          <w:sz w:val="28"/>
          <w:szCs w:val="28"/>
        </w:rPr>
        <w:t xml:space="preserve"> 2 </w:t>
      </w:r>
      <w:r w:rsidR="006B407B" w:rsidRPr="006B407B">
        <w:rPr>
          <w:rFonts w:hint="eastAsia"/>
          <w:color w:val="000000"/>
          <w:sz w:val="28"/>
          <w:szCs w:val="28"/>
        </w:rPr>
        <w:t>亿元</w:t>
      </w:r>
      <w:r w:rsidR="006B407B">
        <w:rPr>
          <w:rFonts w:hint="eastAsia"/>
          <w:color w:val="000000"/>
          <w:sz w:val="28"/>
          <w:szCs w:val="28"/>
        </w:rPr>
        <w:t>。</w:t>
      </w:r>
      <w:r>
        <w:rPr>
          <w:rFonts w:hint="eastAsia"/>
          <w:color w:val="000000"/>
          <w:sz w:val="28"/>
          <w:szCs w:val="28"/>
        </w:rPr>
        <w:t>授信申请期限自</w:t>
      </w:r>
      <w:r>
        <w:rPr>
          <w:rFonts w:hint="eastAsia"/>
          <w:color w:val="000000"/>
          <w:sz w:val="28"/>
          <w:szCs w:val="28"/>
        </w:rPr>
        <w:t>202</w:t>
      </w:r>
      <w:r w:rsidR="00866482">
        <w:rPr>
          <w:color w:val="000000"/>
          <w:sz w:val="28"/>
          <w:szCs w:val="28"/>
        </w:rPr>
        <w:t>5</w:t>
      </w:r>
      <w:r>
        <w:rPr>
          <w:rFonts w:hint="eastAsia"/>
          <w:color w:val="000000"/>
          <w:sz w:val="28"/>
          <w:szCs w:val="28"/>
        </w:rPr>
        <w:t>年第一次临时股东大会审议通过之日起</w:t>
      </w:r>
      <w:r>
        <w:rPr>
          <w:rFonts w:hint="eastAsia"/>
          <w:color w:val="000000"/>
          <w:sz w:val="28"/>
          <w:szCs w:val="28"/>
        </w:rPr>
        <w:t>1</w:t>
      </w:r>
      <w:r>
        <w:rPr>
          <w:color w:val="000000"/>
          <w:sz w:val="28"/>
          <w:szCs w:val="28"/>
        </w:rPr>
        <w:t>2</w:t>
      </w:r>
      <w:r>
        <w:rPr>
          <w:rFonts w:hint="eastAsia"/>
          <w:color w:val="000000"/>
          <w:sz w:val="28"/>
          <w:szCs w:val="28"/>
        </w:rPr>
        <w:t>个月内，在额度范围内可循环使用，综合授</w:t>
      </w:r>
      <w:proofErr w:type="gramStart"/>
      <w:r>
        <w:rPr>
          <w:rFonts w:hint="eastAsia"/>
          <w:color w:val="000000"/>
          <w:sz w:val="28"/>
          <w:szCs w:val="28"/>
        </w:rPr>
        <w:t>信类型</w:t>
      </w:r>
      <w:proofErr w:type="gramEnd"/>
      <w:r>
        <w:rPr>
          <w:rFonts w:hint="eastAsia"/>
          <w:color w:val="000000"/>
          <w:sz w:val="28"/>
          <w:szCs w:val="28"/>
        </w:rPr>
        <w:t>包括贷</w:t>
      </w:r>
      <w:r>
        <w:rPr>
          <w:rFonts w:hint="eastAsia"/>
          <w:color w:val="000000"/>
          <w:sz w:val="28"/>
          <w:szCs w:val="28"/>
        </w:rPr>
        <w:lastRenderedPageBreak/>
        <w:t>款、承兑汇票、</w:t>
      </w:r>
      <w:proofErr w:type="gramStart"/>
      <w:r>
        <w:rPr>
          <w:rFonts w:hint="eastAsia"/>
          <w:color w:val="000000"/>
          <w:sz w:val="28"/>
          <w:szCs w:val="28"/>
        </w:rPr>
        <w:t>保理融资</w:t>
      </w:r>
      <w:proofErr w:type="gramEnd"/>
      <w:r>
        <w:rPr>
          <w:rFonts w:hint="eastAsia"/>
          <w:color w:val="000000"/>
          <w:sz w:val="28"/>
          <w:szCs w:val="28"/>
        </w:rPr>
        <w:t>、</w:t>
      </w:r>
      <w:proofErr w:type="gramStart"/>
      <w:r>
        <w:rPr>
          <w:rFonts w:hint="eastAsia"/>
          <w:color w:val="000000"/>
          <w:sz w:val="28"/>
          <w:szCs w:val="28"/>
        </w:rPr>
        <w:t>商票保贴</w:t>
      </w:r>
      <w:proofErr w:type="gramEnd"/>
      <w:r>
        <w:rPr>
          <w:rFonts w:hint="eastAsia"/>
          <w:color w:val="000000"/>
          <w:sz w:val="28"/>
          <w:szCs w:val="28"/>
        </w:rPr>
        <w:t>、信用证贴现、进出口贸易融资、外汇买卖、融资租赁等，授信条件包括公司关联方提供关联担保、非关联方提供担保、应收账款质押、银行存款保证金、全资子公司房产抵押担保、全资子公司股权质押担保、全资子公司信用担保、知识产权证书质押担保</w:t>
      </w:r>
      <w:r>
        <w:rPr>
          <w:rFonts w:ascii="宋体" w:hAnsi="宋体" w:cs="宋体" w:hint="eastAsia"/>
          <w:kern w:val="0"/>
          <w:sz w:val="28"/>
          <w:szCs w:val="28"/>
        </w:rPr>
        <w:t>等。</w:t>
      </w:r>
    </w:p>
    <w:p w:rsidR="001576FD" w:rsidRDefault="006B407B">
      <w:pPr>
        <w:widowControl/>
        <w:spacing w:line="600" w:lineRule="exact"/>
        <w:ind w:firstLineChars="200" w:firstLine="560"/>
        <w:rPr>
          <w:color w:val="000000"/>
          <w:sz w:val="28"/>
          <w:szCs w:val="28"/>
        </w:rPr>
      </w:pPr>
      <w:r>
        <w:rPr>
          <w:rFonts w:hint="eastAsia"/>
          <w:color w:val="000000"/>
          <w:sz w:val="28"/>
          <w:szCs w:val="28"/>
        </w:rPr>
        <w:t>根据公司经营发展及银行</w:t>
      </w:r>
      <w:r w:rsidR="001576FD">
        <w:rPr>
          <w:rFonts w:hint="eastAsia"/>
          <w:color w:val="000000"/>
          <w:sz w:val="28"/>
          <w:szCs w:val="28"/>
        </w:rPr>
        <w:t>批复情况，</w:t>
      </w:r>
      <w:r w:rsidR="001576FD" w:rsidRPr="001576FD">
        <w:rPr>
          <w:rFonts w:hint="eastAsia"/>
          <w:color w:val="000000"/>
          <w:sz w:val="28"/>
          <w:szCs w:val="28"/>
        </w:rPr>
        <w:t>公司及全资子公司拟对</w:t>
      </w:r>
      <w:proofErr w:type="gramStart"/>
      <w:r w:rsidR="001576FD" w:rsidRPr="001576FD">
        <w:rPr>
          <w:rFonts w:hint="eastAsia"/>
          <w:color w:val="000000"/>
          <w:sz w:val="28"/>
          <w:szCs w:val="28"/>
        </w:rPr>
        <w:t>预计总授信</w:t>
      </w:r>
      <w:proofErr w:type="gramEnd"/>
      <w:r w:rsidR="001576FD" w:rsidRPr="001576FD">
        <w:rPr>
          <w:rFonts w:hint="eastAsia"/>
          <w:color w:val="000000"/>
          <w:sz w:val="28"/>
          <w:szCs w:val="28"/>
        </w:rPr>
        <w:t>额度进行调整，调整情况如下：</w:t>
      </w:r>
    </w:p>
    <w:tbl>
      <w:tblPr>
        <w:tblStyle w:val="a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47"/>
        <w:gridCol w:w="2687"/>
        <w:gridCol w:w="2342"/>
      </w:tblGrid>
      <w:tr w:rsidR="001576FD" w:rsidTr="006321DC">
        <w:trPr>
          <w:trHeight w:val="397"/>
        </w:trPr>
        <w:tc>
          <w:tcPr>
            <w:tcW w:w="3256" w:type="dxa"/>
            <w:vAlign w:val="center"/>
          </w:tcPr>
          <w:p w:rsidR="001576FD" w:rsidRPr="00C31B7D" w:rsidRDefault="001576FD" w:rsidP="001576FD">
            <w:pPr>
              <w:widowControl/>
              <w:spacing w:line="600" w:lineRule="exact"/>
              <w:jc w:val="center"/>
              <w:rPr>
                <w:color w:val="000000"/>
                <w:szCs w:val="21"/>
              </w:rPr>
            </w:pPr>
            <w:r w:rsidRPr="00C31B7D">
              <w:rPr>
                <w:rFonts w:hint="eastAsia"/>
                <w:color w:val="000000"/>
                <w:szCs w:val="21"/>
              </w:rPr>
              <w:t>主体</w:t>
            </w:r>
          </w:p>
        </w:tc>
        <w:tc>
          <w:tcPr>
            <w:tcW w:w="2693" w:type="dxa"/>
            <w:vAlign w:val="center"/>
          </w:tcPr>
          <w:p w:rsidR="00C31B7D" w:rsidRDefault="001576FD" w:rsidP="001576FD">
            <w:pPr>
              <w:widowControl/>
              <w:spacing w:line="600" w:lineRule="exact"/>
              <w:jc w:val="center"/>
              <w:rPr>
                <w:color w:val="000000"/>
                <w:szCs w:val="21"/>
              </w:rPr>
            </w:pPr>
            <w:r w:rsidRPr="00C31B7D">
              <w:rPr>
                <w:rFonts w:hint="eastAsia"/>
                <w:color w:val="000000"/>
                <w:szCs w:val="21"/>
              </w:rPr>
              <w:t>原</w:t>
            </w:r>
            <w:proofErr w:type="gramStart"/>
            <w:r w:rsidRPr="00C31B7D">
              <w:rPr>
                <w:rFonts w:hint="eastAsia"/>
                <w:color w:val="000000"/>
                <w:szCs w:val="21"/>
              </w:rPr>
              <w:t>预计总授信</w:t>
            </w:r>
            <w:proofErr w:type="gramEnd"/>
            <w:r w:rsidRPr="00C31B7D">
              <w:rPr>
                <w:rFonts w:hint="eastAsia"/>
                <w:color w:val="000000"/>
                <w:szCs w:val="21"/>
              </w:rPr>
              <w:t>额度</w:t>
            </w:r>
          </w:p>
          <w:p w:rsidR="001576FD" w:rsidRPr="00C31B7D" w:rsidRDefault="00C31B7D" w:rsidP="001576FD">
            <w:pPr>
              <w:widowControl/>
              <w:spacing w:line="600" w:lineRule="exact"/>
              <w:jc w:val="center"/>
              <w:rPr>
                <w:color w:val="000000"/>
                <w:szCs w:val="21"/>
              </w:rPr>
            </w:pPr>
            <w:r w:rsidRPr="00C31B7D">
              <w:rPr>
                <w:rFonts w:hint="eastAsia"/>
                <w:color w:val="000000"/>
                <w:szCs w:val="21"/>
              </w:rPr>
              <w:t>（人民币或等值美金）</w:t>
            </w:r>
          </w:p>
        </w:tc>
        <w:tc>
          <w:tcPr>
            <w:tcW w:w="2347" w:type="dxa"/>
            <w:vAlign w:val="center"/>
          </w:tcPr>
          <w:p w:rsidR="00C31B7D" w:rsidRDefault="001576FD" w:rsidP="001576FD">
            <w:pPr>
              <w:widowControl/>
              <w:spacing w:line="600" w:lineRule="exact"/>
              <w:jc w:val="center"/>
              <w:rPr>
                <w:color w:val="000000"/>
                <w:szCs w:val="21"/>
              </w:rPr>
            </w:pPr>
            <w:r w:rsidRPr="00C31B7D">
              <w:rPr>
                <w:rFonts w:hint="eastAsia"/>
                <w:color w:val="000000"/>
                <w:szCs w:val="21"/>
              </w:rPr>
              <w:t>现</w:t>
            </w:r>
            <w:proofErr w:type="gramStart"/>
            <w:r w:rsidRPr="00C31B7D">
              <w:rPr>
                <w:rFonts w:hint="eastAsia"/>
                <w:color w:val="000000"/>
                <w:szCs w:val="21"/>
              </w:rPr>
              <w:t>预计总授信</w:t>
            </w:r>
            <w:proofErr w:type="gramEnd"/>
            <w:r w:rsidRPr="00C31B7D">
              <w:rPr>
                <w:rFonts w:hint="eastAsia"/>
                <w:color w:val="000000"/>
                <w:szCs w:val="21"/>
              </w:rPr>
              <w:t>额度</w:t>
            </w:r>
          </w:p>
          <w:p w:rsidR="001576FD" w:rsidRPr="00C31B7D" w:rsidRDefault="00C31B7D" w:rsidP="001576FD">
            <w:pPr>
              <w:widowControl/>
              <w:spacing w:line="600" w:lineRule="exact"/>
              <w:jc w:val="center"/>
              <w:rPr>
                <w:color w:val="000000"/>
                <w:szCs w:val="21"/>
              </w:rPr>
            </w:pPr>
            <w:r w:rsidRPr="00C31B7D">
              <w:rPr>
                <w:rFonts w:hint="eastAsia"/>
                <w:color w:val="000000"/>
                <w:szCs w:val="21"/>
              </w:rPr>
              <w:t>（人民币或等值美金）</w:t>
            </w:r>
          </w:p>
        </w:tc>
      </w:tr>
      <w:tr w:rsidR="001576FD" w:rsidTr="006321DC">
        <w:trPr>
          <w:trHeight w:val="397"/>
        </w:trPr>
        <w:tc>
          <w:tcPr>
            <w:tcW w:w="3256" w:type="dxa"/>
            <w:vAlign w:val="center"/>
          </w:tcPr>
          <w:p w:rsidR="001576FD" w:rsidRPr="001576FD" w:rsidRDefault="001576FD" w:rsidP="001576FD">
            <w:pPr>
              <w:widowControl/>
              <w:spacing w:line="600" w:lineRule="exact"/>
              <w:jc w:val="center"/>
              <w:rPr>
                <w:color w:val="000000"/>
                <w:szCs w:val="21"/>
              </w:rPr>
            </w:pPr>
            <w:r w:rsidRPr="001576FD">
              <w:rPr>
                <w:rFonts w:hint="eastAsia"/>
                <w:color w:val="000000"/>
                <w:szCs w:val="21"/>
              </w:rPr>
              <w:t>深圳市有方科技股份有限公司</w:t>
            </w:r>
          </w:p>
        </w:tc>
        <w:tc>
          <w:tcPr>
            <w:tcW w:w="2693" w:type="dxa"/>
            <w:vAlign w:val="center"/>
          </w:tcPr>
          <w:p w:rsidR="001576FD" w:rsidRPr="001576FD" w:rsidRDefault="001576FD" w:rsidP="00C31B7D">
            <w:pPr>
              <w:widowControl/>
              <w:spacing w:line="600" w:lineRule="exact"/>
              <w:jc w:val="center"/>
              <w:rPr>
                <w:color w:val="000000"/>
                <w:szCs w:val="21"/>
              </w:rPr>
            </w:pPr>
            <w:r w:rsidRPr="001576FD">
              <w:rPr>
                <w:rFonts w:hint="eastAsia"/>
                <w:color w:val="000000"/>
                <w:szCs w:val="21"/>
              </w:rPr>
              <w:t>2</w:t>
            </w:r>
            <w:r w:rsidRPr="001576FD">
              <w:rPr>
                <w:color w:val="000000"/>
                <w:szCs w:val="21"/>
              </w:rPr>
              <w:t>0</w:t>
            </w:r>
            <w:r w:rsidRPr="001576FD">
              <w:rPr>
                <w:color w:val="000000"/>
                <w:szCs w:val="21"/>
              </w:rPr>
              <w:t>亿元</w:t>
            </w:r>
          </w:p>
        </w:tc>
        <w:tc>
          <w:tcPr>
            <w:tcW w:w="2347" w:type="dxa"/>
            <w:vAlign w:val="center"/>
          </w:tcPr>
          <w:p w:rsidR="001576FD" w:rsidRPr="001576FD" w:rsidRDefault="001576FD" w:rsidP="00C31B7D">
            <w:pPr>
              <w:widowControl/>
              <w:spacing w:line="600" w:lineRule="exact"/>
              <w:jc w:val="center"/>
              <w:rPr>
                <w:color w:val="000000"/>
                <w:szCs w:val="21"/>
              </w:rPr>
            </w:pPr>
            <w:r w:rsidRPr="001576FD">
              <w:rPr>
                <w:rFonts w:hint="eastAsia"/>
                <w:color w:val="000000"/>
                <w:szCs w:val="21"/>
              </w:rPr>
              <w:t>4</w:t>
            </w:r>
            <w:r w:rsidRPr="001576FD">
              <w:rPr>
                <w:color w:val="000000"/>
                <w:szCs w:val="21"/>
              </w:rPr>
              <w:t>0</w:t>
            </w:r>
            <w:r w:rsidRPr="001576FD">
              <w:rPr>
                <w:color w:val="000000"/>
                <w:szCs w:val="21"/>
              </w:rPr>
              <w:t>亿元</w:t>
            </w:r>
          </w:p>
        </w:tc>
      </w:tr>
      <w:tr w:rsidR="001576FD" w:rsidTr="006321DC">
        <w:trPr>
          <w:trHeight w:val="397"/>
        </w:trPr>
        <w:tc>
          <w:tcPr>
            <w:tcW w:w="3256" w:type="dxa"/>
            <w:vAlign w:val="center"/>
          </w:tcPr>
          <w:p w:rsidR="001576FD" w:rsidRPr="001576FD" w:rsidRDefault="001576FD" w:rsidP="001576FD">
            <w:pPr>
              <w:widowControl/>
              <w:spacing w:line="600" w:lineRule="exact"/>
              <w:jc w:val="center"/>
              <w:rPr>
                <w:color w:val="000000"/>
                <w:szCs w:val="21"/>
              </w:rPr>
            </w:pPr>
            <w:r w:rsidRPr="001576FD">
              <w:rPr>
                <w:rFonts w:hint="eastAsia"/>
                <w:color w:val="000000"/>
                <w:szCs w:val="21"/>
              </w:rPr>
              <w:t>有方通信技术（香港）有限公司</w:t>
            </w:r>
          </w:p>
        </w:tc>
        <w:tc>
          <w:tcPr>
            <w:tcW w:w="2693" w:type="dxa"/>
            <w:vAlign w:val="center"/>
          </w:tcPr>
          <w:p w:rsidR="001576FD" w:rsidRPr="001576FD" w:rsidRDefault="001576FD" w:rsidP="00C31B7D">
            <w:pPr>
              <w:widowControl/>
              <w:spacing w:line="600" w:lineRule="exact"/>
              <w:jc w:val="center"/>
              <w:rPr>
                <w:color w:val="000000"/>
                <w:szCs w:val="21"/>
              </w:rPr>
            </w:pPr>
            <w:r w:rsidRPr="001576FD">
              <w:rPr>
                <w:color w:val="000000"/>
                <w:szCs w:val="21"/>
              </w:rPr>
              <w:t>0.5</w:t>
            </w:r>
            <w:r w:rsidRPr="001576FD">
              <w:rPr>
                <w:rFonts w:hint="eastAsia"/>
                <w:color w:val="000000"/>
                <w:szCs w:val="21"/>
              </w:rPr>
              <w:t>亿</w:t>
            </w:r>
            <w:r w:rsidRPr="001576FD">
              <w:rPr>
                <w:color w:val="000000"/>
                <w:szCs w:val="21"/>
              </w:rPr>
              <w:t>元</w:t>
            </w:r>
          </w:p>
        </w:tc>
        <w:tc>
          <w:tcPr>
            <w:tcW w:w="2347" w:type="dxa"/>
            <w:vAlign w:val="center"/>
          </w:tcPr>
          <w:p w:rsidR="001576FD" w:rsidRPr="001576FD" w:rsidRDefault="001576FD" w:rsidP="00C31B7D">
            <w:pPr>
              <w:widowControl/>
              <w:spacing w:line="600" w:lineRule="exact"/>
              <w:jc w:val="center"/>
              <w:rPr>
                <w:color w:val="000000"/>
                <w:szCs w:val="21"/>
              </w:rPr>
            </w:pPr>
            <w:r w:rsidRPr="001576FD">
              <w:rPr>
                <w:rFonts w:hint="eastAsia"/>
                <w:color w:val="000000"/>
                <w:szCs w:val="21"/>
              </w:rPr>
              <w:t>1</w:t>
            </w:r>
            <w:r w:rsidRPr="001576FD">
              <w:rPr>
                <w:color w:val="000000"/>
                <w:szCs w:val="21"/>
              </w:rPr>
              <w:t>亿元</w:t>
            </w:r>
          </w:p>
        </w:tc>
      </w:tr>
      <w:tr w:rsidR="001576FD" w:rsidTr="006321DC">
        <w:trPr>
          <w:trHeight w:val="397"/>
        </w:trPr>
        <w:tc>
          <w:tcPr>
            <w:tcW w:w="3256" w:type="dxa"/>
            <w:vAlign w:val="center"/>
          </w:tcPr>
          <w:p w:rsidR="001576FD" w:rsidRPr="001576FD" w:rsidRDefault="001576FD" w:rsidP="001576FD">
            <w:pPr>
              <w:widowControl/>
              <w:spacing w:line="600" w:lineRule="exact"/>
              <w:jc w:val="center"/>
              <w:rPr>
                <w:color w:val="000000"/>
                <w:szCs w:val="21"/>
              </w:rPr>
            </w:pPr>
            <w:r w:rsidRPr="001576FD">
              <w:rPr>
                <w:rFonts w:hint="eastAsia"/>
                <w:color w:val="000000"/>
                <w:szCs w:val="21"/>
              </w:rPr>
              <w:t>东莞有方物联网科技有限公司</w:t>
            </w:r>
          </w:p>
        </w:tc>
        <w:tc>
          <w:tcPr>
            <w:tcW w:w="2693" w:type="dxa"/>
            <w:vAlign w:val="center"/>
          </w:tcPr>
          <w:p w:rsidR="001576FD" w:rsidRPr="001576FD" w:rsidRDefault="001576FD" w:rsidP="00C31B7D">
            <w:pPr>
              <w:widowControl/>
              <w:spacing w:line="600" w:lineRule="exact"/>
              <w:jc w:val="center"/>
              <w:rPr>
                <w:color w:val="000000"/>
                <w:szCs w:val="21"/>
              </w:rPr>
            </w:pPr>
            <w:r w:rsidRPr="001576FD">
              <w:rPr>
                <w:rFonts w:hint="eastAsia"/>
                <w:color w:val="000000"/>
                <w:szCs w:val="21"/>
              </w:rPr>
              <w:t>1.</w:t>
            </w:r>
            <w:r w:rsidRPr="001576FD">
              <w:rPr>
                <w:color w:val="000000"/>
                <w:szCs w:val="21"/>
              </w:rPr>
              <w:t>5</w:t>
            </w:r>
            <w:r w:rsidRPr="001576FD">
              <w:rPr>
                <w:color w:val="000000"/>
                <w:szCs w:val="21"/>
              </w:rPr>
              <w:t>亿元</w:t>
            </w:r>
          </w:p>
        </w:tc>
        <w:tc>
          <w:tcPr>
            <w:tcW w:w="2347" w:type="dxa"/>
            <w:vAlign w:val="center"/>
          </w:tcPr>
          <w:p w:rsidR="001576FD" w:rsidRPr="001576FD" w:rsidRDefault="001576FD" w:rsidP="00C31B7D">
            <w:pPr>
              <w:widowControl/>
              <w:spacing w:line="600" w:lineRule="exact"/>
              <w:jc w:val="center"/>
              <w:rPr>
                <w:color w:val="000000"/>
                <w:szCs w:val="21"/>
              </w:rPr>
            </w:pPr>
            <w:r w:rsidRPr="001576FD">
              <w:rPr>
                <w:color w:val="000000"/>
                <w:szCs w:val="21"/>
              </w:rPr>
              <w:t>3</w:t>
            </w:r>
            <w:r w:rsidRPr="001576FD">
              <w:rPr>
                <w:color w:val="000000"/>
                <w:szCs w:val="21"/>
              </w:rPr>
              <w:t>亿元</w:t>
            </w:r>
          </w:p>
        </w:tc>
      </w:tr>
    </w:tbl>
    <w:p w:rsidR="002574CE" w:rsidRDefault="001E7A72">
      <w:pPr>
        <w:widowControl/>
        <w:spacing w:line="600" w:lineRule="exact"/>
        <w:ind w:firstLineChars="200" w:firstLine="560"/>
        <w:rPr>
          <w:color w:val="000000"/>
          <w:sz w:val="28"/>
          <w:szCs w:val="28"/>
        </w:rPr>
      </w:pPr>
      <w:r>
        <w:rPr>
          <w:rFonts w:hint="eastAsia"/>
          <w:color w:val="000000"/>
          <w:sz w:val="28"/>
          <w:szCs w:val="28"/>
        </w:rPr>
        <w:t>上述预计的</w:t>
      </w:r>
      <w:r>
        <w:rPr>
          <w:rFonts w:hint="eastAsia"/>
          <w:color w:val="000000"/>
          <w:sz w:val="28"/>
          <w:szCs w:val="28"/>
        </w:rPr>
        <w:t>202</w:t>
      </w:r>
      <w:r w:rsidR="00866482">
        <w:rPr>
          <w:color w:val="000000"/>
          <w:sz w:val="28"/>
          <w:szCs w:val="28"/>
        </w:rPr>
        <w:t>5</w:t>
      </w:r>
      <w:r>
        <w:rPr>
          <w:rFonts w:hint="eastAsia"/>
          <w:color w:val="000000"/>
          <w:sz w:val="28"/>
          <w:szCs w:val="28"/>
        </w:rPr>
        <w:t>年综合授信额度不等同于公司及全资子公司的实际融资金额，公司具体融资金额将视公司运营资金的实际需求合理确定，并应在授信额度内以银行等金融机构实际批复的金额为准。</w:t>
      </w:r>
    </w:p>
    <w:p w:rsidR="002574CE" w:rsidRDefault="001E7A72">
      <w:pPr>
        <w:widowControl/>
        <w:spacing w:line="60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二、担保情况概述</w:t>
      </w:r>
    </w:p>
    <w:p w:rsidR="002574CE" w:rsidRDefault="001E7A72">
      <w:pPr>
        <w:widowControl/>
        <w:adjustRightInd w:val="0"/>
        <w:snapToGrid w:val="0"/>
        <w:spacing w:line="600" w:lineRule="exact"/>
        <w:ind w:firstLineChars="200" w:firstLine="560"/>
        <w:rPr>
          <w:rFonts w:ascii="宋体" w:hAnsi="宋体"/>
          <w:sz w:val="28"/>
          <w:szCs w:val="28"/>
        </w:rPr>
      </w:pPr>
      <w:r>
        <w:rPr>
          <w:rFonts w:ascii="宋体" w:hAnsi="宋体" w:hint="eastAsia"/>
          <w:sz w:val="28"/>
          <w:szCs w:val="28"/>
        </w:rPr>
        <w:t>（一）担保基本情况</w:t>
      </w:r>
    </w:p>
    <w:p w:rsidR="002574CE" w:rsidRDefault="001E7A72">
      <w:pPr>
        <w:tabs>
          <w:tab w:val="left" w:pos="1080"/>
          <w:tab w:val="left" w:pos="1260"/>
          <w:tab w:val="left" w:pos="1321"/>
        </w:tabs>
        <w:spacing w:line="300" w:lineRule="auto"/>
        <w:ind w:firstLineChars="200" w:firstLine="560"/>
        <w:rPr>
          <w:rFonts w:ascii="宋体" w:hAnsi="宋体"/>
          <w:sz w:val="28"/>
          <w:szCs w:val="28"/>
        </w:rPr>
      </w:pPr>
      <w:r>
        <w:rPr>
          <w:rFonts w:ascii="宋体" w:hAnsi="宋体" w:cs="宋体" w:hint="eastAsia"/>
          <w:color w:val="000000"/>
          <w:kern w:val="0"/>
          <w:sz w:val="28"/>
          <w:szCs w:val="28"/>
        </w:rPr>
        <w:t>公司根据业务发展规划，并结合全资子公司的融资需求，预计</w:t>
      </w:r>
      <w:r w:rsidRPr="0091690C">
        <w:rPr>
          <w:rFonts w:cs="宋体"/>
          <w:color w:val="000000"/>
          <w:kern w:val="0"/>
          <w:sz w:val="28"/>
          <w:szCs w:val="28"/>
        </w:rPr>
        <w:t>202</w:t>
      </w:r>
      <w:r w:rsidR="00866482">
        <w:rPr>
          <w:rFonts w:cs="宋体"/>
          <w:color w:val="000000"/>
          <w:kern w:val="0"/>
          <w:sz w:val="28"/>
          <w:szCs w:val="28"/>
        </w:rPr>
        <w:t>5</w:t>
      </w:r>
      <w:r>
        <w:rPr>
          <w:rFonts w:ascii="宋体" w:hAnsi="宋体" w:cs="宋体" w:hint="eastAsia"/>
          <w:color w:val="000000"/>
          <w:kern w:val="0"/>
          <w:sz w:val="28"/>
          <w:szCs w:val="28"/>
        </w:rPr>
        <w:t>年为全资子公司向银行等金融机构申请的综合授信提供担保额度合计</w:t>
      </w:r>
      <w:r w:rsidR="00D3682A">
        <w:rPr>
          <w:rFonts w:ascii="宋体" w:hAnsi="宋体" w:cs="宋体" w:hint="eastAsia"/>
          <w:color w:val="000000"/>
          <w:kern w:val="0"/>
          <w:sz w:val="28"/>
          <w:szCs w:val="28"/>
        </w:rPr>
        <w:t>自</w:t>
      </w:r>
      <w:r>
        <w:rPr>
          <w:rFonts w:ascii="宋体" w:hAnsi="宋体" w:cs="宋体" w:hint="eastAsia"/>
          <w:color w:val="000000"/>
          <w:kern w:val="0"/>
          <w:sz w:val="28"/>
          <w:szCs w:val="28"/>
        </w:rPr>
        <w:t>不超过</w:t>
      </w:r>
      <w:r w:rsidR="00866482">
        <w:rPr>
          <w:rFonts w:cs="宋体"/>
          <w:color w:val="000000"/>
          <w:kern w:val="0"/>
          <w:sz w:val="28"/>
          <w:szCs w:val="28"/>
        </w:rPr>
        <w:t>2</w:t>
      </w:r>
      <w:r>
        <w:rPr>
          <w:rFonts w:ascii="宋体" w:hAnsi="宋体" w:cs="宋体" w:hint="eastAsia"/>
          <w:color w:val="000000"/>
          <w:kern w:val="0"/>
          <w:sz w:val="28"/>
          <w:szCs w:val="28"/>
        </w:rPr>
        <w:t>亿元</w:t>
      </w:r>
      <w:r w:rsidR="00D3682A">
        <w:rPr>
          <w:rFonts w:ascii="宋体" w:hAnsi="宋体" w:cs="宋体" w:hint="eastAsia"/>
          <w:color w:val="000000"/>
          <w:kern w:val="0"/>
          <w:sz w:val="28"/>
          <w:szCs w:val="28"/>
        </w:rPr>
        <w:t>调整至不超过</w:t>
      </w:r>
      <w:r w:rsidR="00D3682A">
        <w:rPr>
          <w:rFonts w:cs="宋体"/>
          <w:color w:val="000000"/>
          <w:kern w:val="0"/>
          <w:sz w:val="28"/>
          <w:szCs w:val="28"/>
        </w:rPr>
        <w:t>4</w:t>
      </w:r>
      <w:r w:rsidR="00D3682A">
        <w:rPr>
          <w:rFonts w:ascii="宋体" w:hAnsi="宋体" w:cs="宋体" w:hint="eastAsia"/>
          <w:color w:val="000000"/>
          <w:kern w:val="0"/>
          <w:sz w:val="28"/>
          <w:szCs w:val="28"/>
        </w:rPr>
        <w:t>亿元</w:t>
      </w:r>
      <w:r>
        <w:rPr>
          <w:rFonts w:ascii="宋体" w:hAnsi="宋体" w:cs="宋体" w:hint="eastAsia"/>
          <w:color w:val="000000"/>
          <w:kern w:val="0"/>
          <w:sz w:val="28"/>
          <w:szCs w:val="28"/>
        </w:rPr>
        <w:t>，担保类型为融资类担保，担保方式为连带责任担保。</w:t>
      </w:r>
      <w:r>
        <w:rPr>
          <w:rFonts w:ascii="宋体" w:hAnsi="宋体" w:hint="eastAsia"/>
          <w:sz w:val="28"/>
          <w:szCs w:val="28"/>
        </w:rPr>
        <w:t>具体额度分配情况如下：</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577"/>
        <w:gridCol w:w="2350"/>
        <w:gridCol w:w="2349"/>
      </w:tblGrid>
      <w:tr w:rsidR="00D3682A" w:rsidTr="006321DC">
        <w:tc>
          <w:tcPr>
            <w:tcW w:w="2161" w:type="pct"/>
            <w:vAlign w:val="center"/>
          </w:tcPr>
          <w:p w:rsidR="00D3682A" w:rsidRPr="00F53113" w:rsidRDefault="00D3682A" w:rsidP="00F53113">
            <w:pPr>
              <w:spacing w:afterLines="50" w:after="156"/>
              <w:jc w:val="center"/>
              <w:rPr>
                <w:color w:val="000000"/>
                <w:szCs w:val="21"/>
              </w:rPr>
            </w:pPr>
            <w:r w:rsidRPr="00F53113">
              <w:rPr>
                <w:rFonts w:hint="eastAsia"/>
                <w:color w:val="000000"/>
                <w:szCs w:val="21"/>
              </w:rPr>
              <w:t>被担保人</w:t>
            </w:r>
          </w:p>
        </w:tc>
        <w:tc>
          <w:tcPr>
            <w:tcW w:w="1420" w:type="pct"/>
            <w:vAlign w:val="center"/>
          </w:tcPr>
          <w:p w:rsidR="00D3682A" w:rsidRPr="00F53113" w:rsidRDefault="00D3682A" w:rsidP="00F53113">
            <w:pPr>
              <w:spacing w:afterLines="50" w:after="156"/>
              <w:jc w:val="center"/>
              <w:rPr>
                <w:color w:val="000000"/>
                <w:szCs w:val="21"/>
              </w:rPr>
            </w:pPr>
            <w:r w:rsidRPr="00F53113">
              <w:rPr>
                <w:rFonts w:hint="eastAsia"/>
                <w:color w:val="000000"/>
                <w:szCs w:val="21"/>
              </w:rPr>
              <w:t>原担保额度</w:t>
            </w:r>
          </w:p>
          <w:p w:rsidR="00D3682A" w:rsidRPr="00F53113" w:rsidRDefault="00D3682A" w:rsidP="00F53113">
            <w:pPr>
              <w:spacing w:afterLines="50" w:after="156"/>
              <w:jc w:val="center"/>
              <w:rPr>
                <w:color w:val="000000"/>
                <w:szCs w:val="21"/>
              </w:rPr>
            </w:pPr>
            <w:r w:rsidRPr="00C31B7D">
              <w:rPr>
                <w:rFonts w:hint="eastAsia"/>
                <w:color w:val="000000"/>
                <w:szCs w:val="21"/>
              </w:rPr>
              <w:t>（人民币或等值美金）</w:t>
            </w:r>
          </w:p>
        </w:tc>
        <w:tc>
          <w:tcPr>
            <w:tcW w:w="1420" w:type="pct"/>
            <w:vAlign w:val="center"/>
          </w:tcPr>
          <w:p w:rsidR="00D3682A" w:rsidRPr="00F53113" w:rsidRDefault="00D3682A" w:rsidP="00F53113">
            <w:pPr>
              <w:spacing w:afterLines="50" w:after="156"/>
              <w:jc w:val="center"/>
              <w:rPr>
                <w:color w:val="000000"/>
                <w:szCs w:val="21"/>
              </w:rPr>
            </w:pPr>
            <w:r w:rsidRPr="00F53113">
              <w:rPr>
                <w:rFonts w:hint="eastAsia"/>
                <w:color w:val="000000"/>
                <w:szCs w:val="21"/>
              </w:rPr>
              <w:t>调整后担保额度</w:t>
            </w:r>
          </w:p>
          <w:p w:rsidR="00D3682A" w:rsidRPr="00F53113" w:rsidRDefault="00D3682A" w:rsidP="00F53113">
            <w:pPr>
              <w:spacing w:afterLines="50" w:after="156"/>
              <w:jc w:val="center"/>
              <w:rPr>
                <w:color w:val="000000"/>
                <w:szCs w:val="21"/>
              </w:rPr>
            </w:pPr>
            <w:r w:rsidRPr="00C31B7D">
              <w:rPr>
                <w:rFonts w:hint="eastAsia"/>
                <w:color w:val="000000"/>
                <w:szCs w:val="21"/>
              </w:rPr>
              <w:t>（人民币或等值美金）</w:t>
            </w:r>
          </w:p>
        </w:tc>
      </w:tr>
      <w:tr w:rsidR="00D3682A" w:rsidTr="006321DC">
        <w:trPr>
          <w:trHeight w:val="618"/>
        </w:trPr>
        <w:tc>
          <w:tcPr>
            <w:tcW w:w="2161" w:type="pct"/>
            <w:vAlign w:val="center"/>
          </w:tcPr>
          <w:p w:rsidR="00D3682A" w:rsidRPr="00F53113" w:rsidRDefault="00D3682A" w:rsidP="00F53113">
            <w:pPr>
              <w:spacing w:afterLines="50" w:after="156"/>
              <w:jc w:val="center"/>
              <w:rPr>
                <w:color w:val="000000"/>
                <w:szCs w:val="21"/>
              </w:rPr>
            </w:pPr>
            <w:bookmarkStart w:id="0" w:name="_Hlk63598949"/>
            <w:r w:rsidRPr="00F53113">
              <w:rPr>
                <w:rFonts w:hint="eastAsia"/>
                <w:color w:val="000000"/>
                <w:szCs w:val="21"/>
              </w:rPr>
              <w:lastRenderedPageBreak/>
              <w:t>有方通信技术（香港）有限公司</w:t>
            </w:r>
          </w:p>
        </w:tc>
        <w:tc>
          <w:tcPr>
            <w:tcW w:w="1420" w:type="pct"/>
            <w:vAlign w:val="center"/>
          </w:tcPr>
          <w:p w:rsidR="00D3682A" w:rsidRPr="00F53113" w:rsidRDefault="00D3682A" w:rsidP="00F53113">
            <w:pPr>
              <w:spacing w:afterLines="50" w:after="156"/>
              <w:jc w:val="center"/>
              <w:rPr>
                <w:color w:val="000000"/>
                <w:szCs w:val="21"/>
              </w:rPr>
            </w:pPr>
            <w:r w:rsidRPr="00F53113">
              <w:rPr>
                <w:color w:val="000000"/>
                <w:szCs w:val="21"/>
              </w:rPr>
              <w:t>0.5</w:t>
            </w:r>
            <w:r w:rsidRPr="00F53113">
              <w:rPr>
                <w:rFonts w:hint="eastAsia"/>
                <w:color w:val="000000"/>
                <w:szCs w:val="21"/>
              </w:rPr>
              <w:t>亿元</w:t>
            </w:r>
          </w:p>
        </w:tc>
        <w:tc>
          <w:tcPr>
            <w:tcW w:w="1420" w:type="pct"/>
            <w:vAlign w:val="center"/>
          </w:tcPr>
          <w:p w:rsidR="00D3682A" w:rsidRPr="00F53113" w:rsidRDefault="00D3682A" w:rsidP="00F53113">
            <w:pPr>
              <w:spacing w:afterLines="50" w:after="156"/>
              <w:jc w:val="center"/>
              <w:rPr>
                <w:color w:val="000000"/>
                <w:szCs w:val="21"/>
              </w:rPr>
            </w:pPr>
            <w:r w:rsidRPr="00F53113">
              <w:rPr>
                <w:color w:val="000000"/>
                <w:szCs w:val="21"/>
              </w:rPr>
              <w:t>1</w:t>
            </w:r>
            <w:r w:rsidRPr="00F53113">
              <w:rPr>
                <w:color w:val="000000"/>
                <w:szCs w:val="21"/>
              </w:rPr>
              <w:t>亿元</w:t>
            </w:r>
          </w:p>
        </w:tc>
      </w:tr>
      <w:bookmarkEnd w:id="0"/>
      <w:tr w:rsidR="00D3682A" w:rsidTr="006321DC">
        <w:trPr>
          <w:trHeight w:val="416"/>
        </w:trPr>
        <w:tc>
          <w:tcPr>
            <w:tcW w:w="2161" w:type="pct"/>
            <w:vAlign w:val="center"/>
          </w:tcPr>
          <w:p w:rsidR="00D3682A" w:rsidRPr="00F53113" w:rsidRDefault="00D3682A" w:rsidP="00F53113">
            <w:pPr>
              <w:spacing w:afterLines="50" w:after="156"/>
              <w:jc w:val="center"/>
              <w:rPr>
                <w:color w:val="000000"/>
                <w:szCs w:val="21"/>
              </w:rPr>
            </w:pPr>
            <w:r w:rsidRPr="00F53113">
              <w:rPr>
                <w:rFonts w:hint="eastAsia"/>
                <w:color w:val="000000"/>
                <w:szCs w:val="21"/>
              </w:rPr>
              <w:t>东莞有方物联网科技有限公司</w:t>
            </w:r>
          </w:p>
        </w:tc>
        <w:tc>
          <w:tcPr>
            <w:tcW w:w="1420" w:type="pct"/>
            <w:vAlign w:val="center"/>
          </w:tcPr>
          <w:p w:rsidR="00D3682A" w:rsidRPr="00F53113" w:rsidRDefault="00D3682A" w:rsidP="00F53113">
            <w:pPr>
              <w:spacing w:afterLines="50" w:after="156"/>
              <w:jc w:val="center"/>
              <w:rPr>
                <w:color w:val="000000"/>
                <w:szCs w:val="21"/>
              </w:rPr>
            </w:pPr>
            <w:r w:rsidRPr="00F53113">
              <w:rPr>
                <w:color w:val="000000"/>
                <w:szCs w:val="21"/>
              </w:rPr>
              <w:t>1</w:t>
            </w:r>
            <w:r w:rsidRPr="00F53113">
              <w:rPr>
                <w:rFonts w:hint="eastAsia"/>
                <w:color w:val="000000"/>
                <w:szCs w:val="21"/>
              </w:rPr>
              <w:t>.</w:t>
            </w:r>
            <w:r w:rsidRPr="00F53113">
              <w:rPr>
                <w:color w:val="000000"/>
                <w:szCs w:val="21"/>
              </w:rPr>
              <w:t>5</w:t>
            </w:r>
            <w:r w:rsidRPr="00F53113">
              <w:rPr>
                <w:color w:val="000000"/>
                <w:szCs w:val="21"/>
              </w:rPr>
              <w:t>亿</w:t>
            </w:r>
            <w:r w:rsidRPr="00F53113">
              <w:rPr>
                <w:rFonts w:hint="eastAsia"/>
                <w:color w:val="000000"/>
                <w:szCs w:val="21"/>
              </w:rPr>
              <w:t>元</w:t>
            </w:r>
          </w:p>
        </w:tc>
        <w:tc>
          <w:tcPr>
            <w:tcW w:w="1420" w:type="pct"/>
            <w:vAlign w:val="center"/>
          </w:tcPr>
          <w:p w:rsidR="00D3682A" w:rsidRPr="00F53113" w:rsidRDefault="00D3682A" w:rsidP="00F53113">
            <w:pPr>
              <w:spacing w:afterLines="50" w:after="156"/>
              <w:jc w:val="center"/>
              <w:rPr>
                <w:color w:val="000000"/>
                <w:szCs w:val="21"/>
              </w:rPr>
            </w:pPr>
            <w:r w:rsidRPr="00F53113">
              <w:rPr>
                <w:rFonts w:hint="eastAsia"/>
                <w:color w:val="000000"/>
                <w:szCs w:val="21"/>
              </w:rPr>
              <w:t>3</w:t>
            </w:r>
            <w:r w:rsidRPr="00F53113">
              <w:rPr>
                <w:rFonts w:hint="eastAsia"/>
                <w:color w:val="000000"/>
                <w:szCs w:val="21"/>
              </w:rPr>
              <w:t>亿元</w:t>
            </w:r>
          </w:p>
        </w:tc>
      </w:tr>
    </w:tbl>
    <w:p w:rsidR="002574CE" w:rsidRDefault="001E7A72">
      <w:pPr>
        <w:widowControl/>
        <w:spacing w:line="60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上述预计的</w:t>
      </w:r>
      <w:r w:rsidRPr="0091690C">
        <w:rPr>
          <w:rFonts w:cs="宋体"/>
          <w:color w:val="000000"/>
          <w:kern w:val="0"/>
          <w:sz w:val="28"/>
          <w:szCs w:val="28"/>
        </w:rPr>
        <w:t>202</w:t>
      </w:r>
      <w:r w:rsidR="00866482">
        <w:rPr>
          <w:rFonts w:cs="宋体"/>
          <w:color w:val="000000"/>
          <w:kern w:val="0"/>
          <w:sz w:val="28"/>
          <w:szCs w:val="28"/>
        </w:rPr>
        <w:t>5</w:t>
      </w:r>
      <w:r>
        <w:rPr>
          <w:rFonts w:ascii="宋体" w:hAnsi="宋体" w:cs="宋体" w:hint="eastAsia"/>
          <w:color w:val="000000"/>
          <w:kern w:val="0"/>
          <w:sz w:val="28"/>
          <w:szCs w:val="28"/>
        </w:rPr>
        <w:t>年度担保额度在授权期限内可循环使用，实际担保金额以</w:t>
      </w:r>
      <w:r>
        <w:rPr>
          <w:rFonts w:ascii="宋体" w:hAnsi="宋体" w:cs="宋体"/>
          <w:color w:val="000000"/>
          <w:kern w:val="0"/>
          <w:sz w:val="28"/>
          <w:szCs w:val="28"/>
        </w:rPr>
        <w:t>银行批复</w:t>
      </w:r>
      <w:r>
        <w:rPr>
          <w:rFonts w:ascii="宋体" w:hAnsi="宋体" w:cs="宋体" w:hint="eastAsia"/>
          <w:color w:val="000000"/>
          <w:kern w:val="0"/>
          <w:sz w:val="28"/>
          <w:szCs w:val="28"/>
        </w:rPr>
        <w:t>为准。</w:t>
      </w:r>
    </w:p>
    <w:p w:rsidR="002574CE" w:rsidRDefault="001E7A72">
      <w:pPr>
        <w:widowControl/>
        <w:adjustRightInd w:val="0"/>
        <w:snapToGrid w:val="0"/>
        <w:spacing w:line="600" w:lineRule="exact"/>
        <w:ind w:firstLineChars="200" w:firstLine="560"/>
        <w:rPr>
          <w:rFonts w:ascii="宋体" w:hAnsi="宋体"/>
          <w:sz w:val="28"/>
          <w:szCs w:val="28"/>
        </w:rPr>
      </w:pPr>
      <w:r>
        <w:rPr>
          <w:rFonts w:ascii="宋体" w:hAnsi="宋体" w:hint="eastAsia"/>
          <w:sz w:val="28"/>
          <w:szCs w:val="28"/>
        </w:rPr>
        <w:t>（二）本次担保事项的内部决策程序及尚需履行的程序</w:t>
      </w:r>
    </w:p>
    <w:p w:rsidR="002574CE" w:rsidRDefault="001E7A72">
      <w:pPr>
        <w:widowControl/>
        <w:spacing w:line="60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公司于</w:t>
      </w:r>
      <w:r w:rsidRPr="0091690C">
        <w:rPr>
          <w:rFonts w:cs="宋体"/>
          <w:color w:val="000000"/>
          <w:kern w:val="0"/>
          <w:sz w:val="28"/>
          <w:szCs w:val="28"/>
        </w:rPr>
        <w:t>202</w:t>
      </w:r>
      <w:r w:rsidR="00E6145F">
        <w:rPr>
          <w:rFonts w:cs="宋体"/>
          <w:color w:val="000000"/>
          <w:kern w:val="0"/>
          <w:sz w:val="28"/>
          <w:szCs w:val="28"/>
        </w:rPr>
        <w:t>5</w:t>
      </w:r>
      <w:r>
        <w:rPr>
          <w:rFonts w:ascii="宋体" w:hAnsi="宋体" w:cs="宋体" w:hint="eastAsia"/>
          <w:color w:val="000000"/>
          <w:kern w:val="0"/>
          <w:sz w:val="28"/>
          <w:szCs w:val="28"/>
        </w:rPr>
        <w:t>年</w:t>
      </w:r>
      <w:r w:rsidR="00E6145F">
        <w:rPr>
          <w:rFonts w:cs="宋体"/>
          <w:color w:val="000000"/>
          <w:kern w:val="0"/>
          <w:sz w:val="28"/>
          <w:szCs w:val="28"/>
        </w:rPr>
        <w:t>4</w:t>
      </w:r>
      <w:r>
        <w:rPr>
          <w:rFonts w:ascii="宋体" w:hAnsi="宋体" w:cs="宋体" w:hint="eastAsia"/>
          <w:color w:val="000000"/>
          <w:kern w:val="0"/>
          <w:sz w:val="28"/>
          <w:szCs w:val="28"/>
        </w:rPr>
        <w:t>月</w:t>
      </w:r>
      <w:r w:rsidR="00E6145F">
        <w:rPr>
          <w:rFonts w:cs="宋体"/>
          <w:color w:val="000000"/>
          <w:kern w:val="0"/>
          <w:sz w:val="28"/>
          <w:szCs w:val="28"/>
        </w:rPr>
        <w:t>29</w:t>
      </w:r>
      <w:r>
        <w:rPr>
          <w:rFonts w:ascii="宋体" w:hAnsi="宋体" w:cs="宋体" w:hint="eastAsia"/>
          <w:color w:val="000000"/>
          <w:kern w:val="0"/>
          <w:sz w:val="28"/>
          <w:szCs w:val="28"/>
        </w:rPr>
        <w:t>日召开第</w:t>
      </w:r>
      <w:r w:rsidR="00866482">
        <w:rPr>
          <w:rFonts w:ascii="宋体" w:hAnsi="宋体" w:cs="宋体" w:hint="eastAsia"/>
          <w:color w:val="000000"/>
          <w:kern w:val="0"/>
          <w:sz w:val="28"/>
          <w:szCs w:val="28"/>
        </w:rPr>
        <w:t>四</w:t>
      </w:r>
      <w:r>
        <w:rPr>
          <w:rFonts w:ascii="宋体" w:hAnsi="宋体" w:cs="宋体" w:hint="eastAsia"/>
          <w:color w:val="000000"/>
          <w:kern w:val="0"/>
          <w:sz w:val="28"/>
          <w:szCs w:val="28"/>
        </w:rPr>
        <w:t>届董事会第</w:t>
      </w:r>
      <w:r w:rsidR="00E6145F">
        <w:rPr>
          <w:rFonts w:ascii="宋体" w:hAnsi="宋体" w:cs="宋体" w:hint="eastAsia"/>
          <w:color w:val="000000"/>
          <w:kern w:val="0"/>
          <w:sz w:val="28"/>
          <w:szCs w:val="28"/>
        </w:rPr>
        <w:t>五</w:t>
      </w:r>
      <w:r>
        <w:rPr>
          <w:rFonts w:ascii="宋体" w:hAnsi="宋体" w:cs="宋体" w:hint="eastAsia"/>
          <w:color w:val="000000"/>
          <w:kern w:val="0"/>
          <w:sz w:val="28"/>
          <w:szCs w:val="28"/>
        </w:rPr>
        <w:t>次会议、第</w:t>
      </w:r>
      <w:r w:rsidR="00866482">
        <w:rPr>
          <w:rFonts w:ascii="宋体" w:hAnsi="宋体" w:cs="宋体" w:hint="eastAsia"/>
          <w:color w:val="000000"/>
          <w:kern w:val="0"/>
          <w:sz w:val="28"/>
          <w:szCs w:val="28"/>
        </w:rPr>
        <w:t>四</w:t>
      </w:r>
      <w:r>
        <w:rPr>
          <w:rFonts w:ascii="宋体" w:hAnsi="宋体" w:cs="宋体" w:hint="eastAsia"/>
          <w:color w:val="000000"/>
          <w:kern w:val="0"/>
          <w:sz w:val="28"/>
          <w:szCs w:val="28"/>
        </w:rPr>
        <w:t>届监事会第</w:t>
      </w:r>
      <w:r w:rsidR="00E6145F">
        <w:rPr>
          <w:rFonts w:ascii="宋体" w:hAnsi="宋体" w:cs="宋体" w:hint="eastAsia"/>
          <w:color w:val="000000"/>
          <w:kern w:val="0"/>
          <w:sz w:val="28"/>
          <w:szCs w:val="28"/>
        </w:rPr>
        <w:t>四</w:t>
      </w:r>
      <w:r>
        <w:rPr>
          <w:rFonts w:ascii="宋体" w:hAnsi="宋体" w:cs="宋体" w:hint="eastAsia"/>
          <w:color w:val="000000"/>
          <w:kern w:val="0"/>
          <w:sz w:val="28"/>
          <w:szCs w:val="28"/>
        </w:rPr>
        <w:t>次会议，审议通过了</w:t>
      </w:r>
      <w:r w:rsidR="00E6145F" w:rsidRPr="00E6145F">
        <w:rPr>
          <w:rFonts w:ascii="宋体" w:hAnsi="宋体" w:hint="eastAsia"/>
          <w:bCs/>
          <w:sz w:val="28"/>
          <w:szCs w:val="28"/>
        </w:rPr>
        <w:t>《关于审议调整公司为全资子公司2025年度向银行等金融机构申请综合授信提供担保的议案》</w:t>
      </w:r>
      <w:r>
        <w:rPr>
          <w:rFonts w:ascii="宋体" w:hAnsi="宋体" w:cs="宋体" w:hint="eastAsia"/>
          <w:color w:val="000000"/>
          <w:kern w:val="0"/>
          <w:sz w:val="28"/>
          <w:szCs w:val="28"/>
        </w:rPr>
        <w:t>。</w:t>
      </w:r>
    </w:p>
    <w:p w:rsidR="002574CE" w:rsidRDefault="001E7A72">
      <w:pPr>
        <w:widowControl/>
        <w:spacing w:line="60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本次担保事项需提请股东大会审议。公司管理层将根据实际经营情况的需要，在担保额度内办理具体事宜，同时由公司法定代表人（或其书面授权代表）签署上述担保额度内的担保合同等各项法律文件。</w:t>
      </w:r>
    </w:p>
    <w:p w:rsidR="002574CE" w:rsidRDefault="001E7A72">
      <w:pPr>
        <w:widowControl/>
        <w:spacing w:line="60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上述担保预计额度有效期为自公司</w:t>
      </w:r>
      <w:r w:rsidRPr="0091690C">
        <w:rPr>
          <w:rFonts w:cs="宋体"/>
          <w:color w:val="000000"/>
          <w:kern w:val="0"/>
          <w:sz w:val="28"/>
          <w:szCs w:val="28"/>
        </w:rPr>
        <w:t>202</w:t>
      </w:r>
      <w:r w:rsidR="00E6145F">
        <w:rPr>
          <w:rFonts w:cs="宋体"/>
          <w:color w:val="000000"/>
          <w:kern w:val="0"/>
          <w:sz w:val="28"/>
          <w:szCs w:val="28"/>
        </w:rPr>
        <w:t>4</w:t>
      </w:r>
      <w:r>
        <w:rPr>
          <w:rFonts w:ascii="宋体" w:hAnsi="宋体" w:cs="宋体" w:hint="eastAsia"/>
          <w:color w:val="000000"/>
          <w:kern w:val="0"/>
          <w:sz w:val="28"/>
          <w:szCs w:val="28"/>
        </w:rPr>
        <w:t>年</w:t>
      </w:r>
      <w:r w:rsidR="00E6145F">
        <w:rPr>
          <w:rFonts w:ascii="宋体" w:hAnsi="宋体" w:cs="宋体" w:hint="eastAsia"/>
          <w:color w:val="000000"/>
          <w:kern w:val="0"/>
          <w:sz w:val="28"/>
          <w:szCs w:val="28"/>
        </w:rPr>
        <w:t>度</w:t>
      </w:r>
      <w:r>
        <w:rPr>
          <w:rFonts w:ascii="宋体" w:hAnsi="宋体" w:cs="宋体" w:hint="eastAsia"/>
          <w:color w:val="000000"/>
          <w:kern w:val="0"/>
          <w:sz w:val="28"/>
          <w:szCs w:val="28"/>
        </w:rPr>
        <w:t>股东大会审议通过之日起</w:t>
      </w:r>
      <w:r w:rsidRPr="0091690C">
        <w:rPr>
          <w:rFonts w:cs="宋体"/>
          <w:color w:val="000000"/>
          <w:kern w:val="0"/>
          <w:sz w:val="28"/>
          <w:szCs w:val="28"/>
        </w:rPr>
        <w:t>12</w:t>
      </w:r>
      <w:r>
        <w:rPr>
          <w:rFonts w:ascii="宋体" w:hAnsi="宋体" w:cs="宋体" w:hint="eastAsia"/>
          <w:color w:val="000000"/>
          <w:kern w:val="0"/>
          <w:sz w:val="28"/>
          <w:szCs w:val="28"/>
        </w:rPr>
        <w:t>个月内。</w:t>
      </w:r>
    </w:p>
    <w:p w:rsidR="002574CE" w:rsidRDefault="001E7A72">
      <w:pPr>
        <w:widowControl/>
        <w:adjustRightInd w:val="0"/>
        <w:snapToGrid w:val="0"/>
        <w:spacing w:line="600" w:lineRule="exact"/>
        <w:ind w:firstLineChars="200" w:firstLine="562"/>
        <w:rPr>
          <w:rFonts w:ascii="宋体" w:hAnsi="宋体"/>
          <w:b/>
          <w:sz w:val="28"/>
          <w:szCs w:val="28"/>
        </w:rPr>
      </w:pPr>
      <w:r>
        <w:rPr>
          <w:rFonts w:ascii="宋体" w:hAnsi="宋体" w:hint="eastAsia"/>
          <w:b/>
          <w:sz w:val="28"/>
          <w:szCs w:val="28"/>
        </w:rPr>
        <w:t>三、被担保人基本情况</w:t>
      </w:r>
    </w:p>
    <w:p w:rsidR="002574CE" w:rsidRDefault="001E7A72">
      <w:pPr>
        <w:widowControl/>
        <w:adjustRightInd w:val="0"/>
        <w:snapToGrid w:val="0"/>
        <w:spacing w:line="600" w:lineRule="exact"/>
        <w:ind w:firstLineChars="200" w:firstLine="560"/>
        <w:rPr>
          <w:rFonts w:ascii="宋体" w:hAnsi="宋体"/>
          <w:sz w:val="28"/>
          <w:szCs w:val="28"/>
        </w:rPr>
      </w:pPr>
      <w:r>
        <w:rPr>
          <w:rFonts w:ascii="宋体" w:hAnsi="宋体" w:hint="eastAsia"/>
          <w:sz w:val="28"/>
          <w:szCs w:val="28"/>
        </w:rPr>
        <w:t>（一）被担保人的基本情况</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68"/>
        <w:gridCol w:w="2102"/>
        <w:gridCol w:w="2102"/>
        <w:gridCol w:w="2104"/>
      </w:tblGrid>
      <w:tr w:rsidR="002574CE">
        <w:trPr>
          <w:trHeight w:val="340"/>
          <w:jc w:val="center"/>
        </w:trPr>
        <w:tc>
          <w:tcPr>
            <w:tcW w:w="1189" w:type="pct"/>
            <w:vAlign w:val="center"/>
          </w:tcPr>
          <w:p w:rsidR="002574CE" w:rsidRDefault="001E7A72">
            <w:pPr>
              <w:jc w:val="center"/>
              <w:rPr>
                <w:bCs/>
                <w:color w:val="000000"/>
                <w:sz w:val="24"/>
                <w:shd w:val="clear" w:color="auto" w:fill="FFFFFF"/>
              </w:rPr>
            </w:pPr>
            <w:r>
              <w:rPr>
                <w:bCs/>
                <w:color w:val="000000"/>
                <w:sz w:val="24"/>
                <w:shd w:val="clear" w:color="auto" w:fill="FFFFFF"/>
              </w:rPr>
              <w:t>公司名称</w:t>
            </w:r>
          </w:p>
        </w:tc>
        <w:tc>
          <w:tcPr>
            <w:tcW w:w="3811" w:type="pct"/>
            <w:gridSpan w:val="3"/>
            <w:vAlign w:val="center"/>
          </w:tcPr>
          <w:p w:rsidR="002574CE" w:rsidRDefault="001E7A72">
            <w:pPr>
              <w:rPr>
                <w:bCs/>
                <w:color w:val="000000"/>
                <w:sz w:val="24"/>
                <w:shd w:val="clear" w:color="auto" w:fill="FFFFFF"/>
              </w:rPr>
            </w:pPr>
            <w:r>
              <w:rPr>
                <w:rFonts w:hint="eastAsia"/>
                <w:bCs/>
                <w:color w:val="000000"/>
                <w:sz w:val="24"/>
                <w:shd w:val="clear" w:color="auto" w:fill="FFFFFF"/>
              </w:rPr>
              <w:t>有方通信技术（香港）有限公司</w:t>
            </w:r>
          </w:p>
        </w:tc>
      </w:tr>
      <w:tr w:rsidR="002574CE">
        <w:trPr>
          <w:trHeight w:val="340"/>
          <w:jc w:val="center"/>
        </w:trPr>
        <w:tc>
          <w:tcPr>
            <w:tcW w:w="1189"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英文名</w:t>
            </w:r>
          </w:p>
        </w:tc>
        <w:tc>
          <w:tcPr>
            <w:tcW w:w="3811" w:type="pct"/>
            <w:gridSpan w:val="3"/>
            <w:vAlign w:val="center"/>
          </w:tcPr>
          <w:p w:rsidR="002574CE" w:rsidRDefault="001E7A72">
            <w:pPr>
              <w:rPr>
                <w:bCs/>
                <w:color w:val="000000"/>
                <w:sz w:val="24"/>
                <w:shd w:val="clear" w:color="auto" w:fill="FFFFFF"/>
              </w:rPr>
            </w:pPr>
            <w:r>
              <w:rPr>
                <w:bCs/>
                <w:color w:val="000000"/>
                <w:sz w:val="24"/>
                <w:shd w:val="clear" w:color="auto" w:fill="FFFFFF"/>
              </w:rPr>
              <w:t xml:space="preserve">NEOWAY TECHNOLOGY </w:t>
            </w:r>
            <w:r>
              <w:rPr>
                <w:rFonts w:hint="eastAsia"/>
                <w:bCs/>
                <w:color w:val="000000"/>
                <w:sz w:val="24"/>
                <w:shd w:val="clear" w:color="auto" w:fill="FFFFFF"/>
              </w:rPr>
              <w:t>（</w:t>
            </w:r>
            <w:r>
              <w:rPr>
                <w:bCs/>
                <w:color w:val="000000"/>
                <w:sz w:val="24"/>
                <w:shd w:val="clear" w:color="auto" w:fill="FFFFFF"/>
              </w:rPr>
              <w:t>HONG KONG</w:t>
            </w:r>
            <w:r>
              <w:rPr>
                <w:rFonts w:hint="eastAsia"/>
                <w:bCs/>
                <w:color w:val="000000"/>
                <w:sz w:val="24"/>
                <w:shd w:val="clear" w:color="auto" w:fill="FFFFFF"/>
              </w:rPr>
              <w:t>）</w:t>
            </w:r>
            <w:r>
              <w:rPr>
                <w:bCs/>
                <w:color w:val="000000"/>
                <w:sz w:val="24"/>
                <w:shd w:val="clear" w:color="auto" w:fill="FFFFFF"/>
              </w:rPr>
              <w:t xml:space="preserve"> COMPANY LIMITED</w:t>
            </w:r>
          </w:p>
        </w:tc>
      </w:tr>
      <w:tr w:rsidR="002574CE">
        <w:trPr>
          <w:trHeight w:val="340"/>
          <w:jc w:val="center"/>
        </w:trPr>
        <w:tc>
          <w:tcPr>
            <w:tcW w:w="1189"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股本</w:t>
            </w:r>
          </w:p>
        </w:tc>
        <w:tc>
          <w:tcPr>
            <w:tcW w:w="3811" w:type="pct"/>
            <w:gridSpan w:val="3"/>
            <w:vAlign w:val="center"/>
          </w:tcPr>
          <w:p w:rsidR="002574CE" w:rsidRDefault="001E7A72">
            <w:pPr>
              <w:rPr>
                <w:bCs/>
                <w:color w:val="000000"/>
                <w:sz w:val="24"/>
                <w:shd w:val="clear" w:color="auto" w:fill="FFFFFF"/>
              </w:rPr>
            </w:pPr>
            <w:r>
              <w:rPr>
                <w:rFonts w:hint="eastAsia"/>
                <w:bCs/>
                <w:color w:val="000000"/>
                <w:sz w:val="24"/>
                <w:shd w:val="clear" w:color="auto" w:fill="FFFFFF"/>
              </w:rPr>
              <w:t>5</w:t>
            </w:r>
            <w:r>
              <w:rPr>
                <w:bCs/>
                <w:color w:val="000000"/>
                <w:sz w:val="24"/>
                <w:shd w:val="clear" w:color="auto" w:fill="FFFFFF"/>
              </w:rPr>
              <w:t>0</w:t>
            </w:r>
            <w:r>
              <w:rPr>
                <w:rFonts w:hint="eastAsia"/>
                <w:bCs/>
                <w:color w:val="000000"/>
                <w:sz w:val="24"/>
                <w:shd w:val="clear" w:color="auto" w:fill="FFFFFF"/>
              </w:rPr>
              <w:t>万港币</w:t>
            </w:r>
          </w:p>
        </w:tc>
      </w:tr>
      <w:tr w:rsidR="002574CE">
        <w:trPr>
          <w:trHeight w:val="340"/>
          <w:jc w:val="center"/>
        </w:trPr>
        <w:tc>
          <w:tcPr>
            <w:tcW w:w="1189"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注册地址</w:t>
            </w:r>
          </w:p>
        </w:tc>
        <w:tc>
          <w:tcPr>
            <w:tcW w:w="3811" w:type="pct"/>
            <w:gridSpan w:val="3"/>
            <w:vAlign w:val="center"/>
          </w:tcPr>
          <w:p w:rsidR="002574CE" w:rsidRDefault="001E7A72">
            <w:pPr>
              <w:rPr>
                <w:bCs/>
                <w:color w:val="000000"/>
                <w:sz w:val="24"/>
                <w:shd w:val="clear" w:color="auto" w:fill="FFFFFF"/>
              </w:rPr>
            </w:pPr>
            <w:r>
              <w:rPr>
                <w:bCs/>
                <w:color w:val="000000"/>
                <w:sz w:val="24"/>
                <w:shd w:val="clear" w:color="auto" w:fill="FFFFFF"/>
              </w:rPr>
              <w:t>RM8,12/F LUCIDA IND BLDG 43-47 WANG LUNG ST TSUEN WAN NT</w:t>
            </w:r>
          </w:p>
        </w:tc>
      </w:tr>
      <w:tr w:rsidR="002574CE">
        <w:trPr>
          <w:trHeight w:val="340"/>
          <w:jc w:val="center"/>
        </w:trPr>
        <w:tc>
          <w:tcPr>
            <w:tcW w:w="1189"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法定代表人</w:t>
            </w:r>
          </w:p>
        </w:tc>
        <w:tc>
          <w:tcPr>
            <w:tcW w:w="3811" w:type="pct"/>
            <w:gridSpan w:val="3"/>
            <w:vAlign w:val="center"/>
          </w:tcPr>
          <w:p w:rsidR="002574CE" w:rsidRDefault="001E7A72">
            <w:pPr>
              <w:rPr>
                <w:bCs/>
                <w:color w:val="000000"/>
                <w:sz w:val="24"/>
                <w:shd w:val="clear" w:color="auto" w:fill="FFFFFF"/>
              </w:rPr>
            </w:pPr>
            <w:r>
              <w:rPr>
                <w:rFonts w:hint="eastAsia"/>
                <w:bCs/>
                <w:color w:val="000000"/>
                <w:sz w:val="24"/>
                <w:shd w:val="clear" w:color="auto" w:fill="FFFFFF"/>
              </w:rPr>
              <w:t>王</w:t>
            </w:r>
            <w:proofErr w:type="gramStart"/>
            <w:r>
              <w:rPr>
                <w:rFonts w:hint="eastAsia"/>
                <w:bCs/>
                <w:color w:val="000000"/>
                <w:sz w:val="24"/>
                <w:shd w:val="clear" w:color="auto" w:fill="FFFFFF"/>
              </w:rPr>
              <w:t>慷</w:t>
            </w:r>
            <w:proofErr w:type="gramEnd"/>
          </w:p>
        </w:tc>
      </w:tr>
      <w:tr w:rsidR="002574CE">
        <w:trPr>
          <w:trHeight w:val="340"/>
          <w:jc w:val="center"/>
        </w:trPr>
        <w:tc>
          <w:tcPr>
            <w:tcW w:w="1189"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主营业务</w:t>
            </w:r>
          </w:p>
        </w:tc>
        <w:tc>
          <w:tcPr>
            <w:tcW w:w="3811" w:type="pct"/>
            <w:gridSpan w:val="3"/>
            <w:vAlign w:val="center"/>
          </w:tcPr>
          <w:p w:rsidR="002574CE" w:rsidRDefault="001E7A72">
            <w:pPr>
              <w:rPr>
                <w:bCs/>
                <w:color w:val="000000"/>
                <w:sz w:val="24"/>
                <w:shd w:val="clear" w:color="auto" w:fill="FFFFFF"/>
              </w:rPr>
            </w:pPr>
            <w:r>
              <w:rPr>
                <w:rFonts w:hint="eastAsia"/>
                <w:bCs/>
                <w:color w:val="000000"/>
                <w:sz w:val="24"/>
                <w:shd w:val="clear" w:color="auto" w:fill="FFFFFF"/>
              </w:rPr>
              <w:t>作为公司海外采购和海外销售的平台。</w:t>
            </w:r>
          </w:p>
        </w:tc>
      </w:tr>
      <w:tr w:rsidR="002574CE">
        <w:trPr>
          <w:trHeight w:val="340"/>
          <w:jc w:val="center"/>
        </w:trPr>
        <w:tc>
          <w:tcPr>
            <w:tcW w:w="1189" w:type="pct"/>
            <w:vMerge w:val="restar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主要财务数据</w:t>
            </w:r>
          </w:p>
          <w:p w:rsidR="002574CE" w:rsidRDefault="001E7A72">
            <w:pPr>
              <w:jc w:val="center"/>
              <w:rPr>
                <w:bCs/>
                <w:color w:val="000000"/>
                <w:sz w:val="24"/>
                <w:shd w:val="clear" w:color="auto" w:fill="FFFFFF"/>
              </w:rPr>
            </w:pPr>
            <w:r>
              <w:rPr>
                <w:rFonts w:hint="eastAsia"/>
                <w:bCs/>
                <w:color w:val="000000"/>
                <w:sz w:val="24"/>
                <w:shd w:val="clear" w:color="auto" w:fill="FFFFFF"/>
              </w:rPr>
              <w:t>（万元）</w:t>
            </w:r>
          </w:p>
        </w:tc>
        <w:tc>
          <w:tcPr>
            <w:tcW w:w="1270"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项目</w:t>
            </w:r>
          </w:p>
        </w:tc>
        <w:tc>
          <w:tcPr>
            <w:tcW w:w="1270" w:type="pct"/>
            <w:vAlign w:val="center"/>
          </w:tcPr>
          <w:p w:rsidR="002574CE" w:rsidRPr="006321DC" w:rsidRDefault="001E7A72" w:rsidP="001D02D5">
            <w:pPr>
              <w:jc w:val="center"/>
              <w:rPr>
                <w:bCs/>
                <w:color w:val="000000"/>
                <w:sz w:val="24"/>
                <w:shd w:val="clear" w:color="auto" w:fill="FFFFFF"/>
              </w:rPr>
            </w:pPr>
            <w:r w:rsidRPr="006321DC">
              <w:rPr>
                <w:rFonts w:hint="eastAsia"/>
                <w:bCs/>
                <w:color w:val="000000"/>
                <w:sz w:val="24"/>
                <w:shd w:val="clear" w:color="auto" w:fill="FFFFFF"/>
              </w:rPr>
              <w:t>202</w:t>
            </w:r>
            <w:r w:rsidR="001D02D5" w:rsidRPr="006321DC">
              <w:rPr>
                <w:bCs/>
                <w:color w:val="000000"/>
                <w:sz w:val="24"/>
                <w:shd w:val="clear" w:color="auto" w:fill="FFFFFF"/>
              </w:rPr>
              <w:t>3</w:t>
            </w:r>
            <w:r w:rsidRPr="006321DC">
              <w:rPr>
                <w:rFonts w:hint="eastAsia"/>
                <w:bCs/>
                <w:color w:val="000000"/>
                <w:sz w:val="24"/>
                <w:shd w:val="clear" w:color="auto" w:fill="FFFFFF"/>
              </w:rPr>
              <w:t>年</w:t>
            </w:r>
            <w:r w:rsidRPr="006321DC">
              <w:rPr>
                <w:rFonts w:hint="eastAsia"/>
                <w:bCs/>
                <w:color w:val="000000"/>
                <w:sz w:val="24"/>
                <w:shd w:val="clear" w:color="auto" w:fill="FFFFFF"/>
              </w:rPr>
              <w:t>/</w:t>
            </w:r>
            <w:r w:rsidRPr="006321DC">
              <w:rPr>
                <w:bCs/>
                <w:color w:val="000000"/>
                <w:sz w:val="24"/>
                <w:shd w:val="clear" w:color="auto" w:fill="FFFFFF"/>
              </w:rPr>
              <w:t>202</w:t>
            </w:r>
            <w:r w:rsidR="001D02D5" w:rsidRPr="006321DC">
              <w:rPr>
                <w:bCs/>
                <w:color w:val="000000"/>
                <w:sz w:val="24"/>
                <w:shd w:val="clear" w:color="auto" w:fill="FFFFFF"/>
              </w:rPr>
              <w:t>3</w:t>
            </w:r>
            <w:r w:rsidRPr="006321DC">
              <w:rPr>
                <w:bCs/>
                <w:color w:val="000000"/>
                <w:sz w:val="24"/>
                <w:shd w:val="clear" w:color="auto" w:fill="FFFFFF"/>
              </w:rPr>
              <w:t>.12.31</w:t>
            </w:r>
          </w:p>
        </w:tc>
        <w:tc>
          <w:tcPr>
            <w:tcW w:w="1271" w:type="pct"/>
            <w:vAlign w:val="center"/>
          </w:tcPr>
          <w:p w:rsidR="002574CE" w:rsidRPr="006321DC" w:rsidRDefault="001E7A72" w:rsidP="003A69C5">
            <w:pPr>
              <w:jc w:val="center"/>
              <w:rPr>
                <w:bCs/>
                <w:color w:val="000000"/>
                <w:sz w:val="24"/>
                <w:shd w:val="clear" w:color="auto" w:fill="FFFFFF"/>
              </w:rPr>
            </w:pPr>
            <w:r w:rsidRPr="006321DC">
              <w:rPr>
                <w:rFonts w:hint="eastAsia"/>
                <w:bCs/>
                <w:color w:val="000000"/>
                <w:sz w:val="24"/>
                <w:shd w:val="clear" w:color="auto" w:fill="FFFFFF"/>
              </w:rPr>
              <w:t>202</w:t>
            </w:r>
            <w:r w:rsidR="001D02D5" w:rsidRPr="006321DC">
              <w:rPr>
                <w:bCs/>
                <w:color w:val="000000"/>
                <w:sz w:val="24"/>
                <w:shd w:val="clear" w:color="auto" w:fill="FFFFFF"/>
              </w:rPr>
              <w:t>4</w:t>
            </w:r>
            <w:r w:rsidRPr="006321DC">
              <w:rPr>
                <w:rFonts w:hint="eastAsia"/>
                <w:bCs/>
                <w:color w:val="000000"/>
                <w:sz w:val="24"/>
                <w:shd w:val="clear" w:color="auto" w:fill="FFFFFF"/>
              </w:rPr>
              <w:t>年</w:t>
            </w:r>
            <w:r w:rsidRPr="006321DC">
              <w:rPr>
                <w:rFonts w:hint="eastAsia"/>
                <w:bCs/>
                <w:color w:val="000000"/>
                <w:sz w:val="24"/>
                <w:shd w:val="clear" w:color="auto" w:fill="FFFFFF"/>
              </w:rPr>
              <w:t>/</w:t>
            </w:r>
            <w:r w:rsidRPr="006321DC">
              <w:rPr>
                <w:bCs/>
                <w:color w:val="000000"/>
                <w:sz w:val="24"/>
                <w:shd w:val="clear" w:color="auto" w:fill="FFFFFF"/>
              </w:rPr>
              <w:t>202</w:t>
            </w:r>
            <w:r w:rsidR="001D02D5" w:rsidRPr="006321DC">
              <w:rPr>
                <w:bCs/>
                <w:color w:val="000000"/>
                <w:sz w:val="24"/>
                <w:shd w:val="clear" w:color="auto" w:fill="FFFFFF"/>
              </w:rPr>
              <w:t>4</w:t>
            </w:r>
            <w:r w:rsidRPr="006321DC">
              <w:rPr>
                <w:bCs/>
                <w:color w:val="000000"/>
                <w:sz w:val="24"/>
                <w:shd w:val="clear" w:color="auto" w:fill="FFFFFF"/>
              </w:rPr>
              <w:t>.</w:t>
            </w:r>
            <w:r w:rsidR="003A69C5" w:rsidRPr="006321DC">
              <w:rPr>
                <w:bCs/>
                <w:color w:val="000000"/>
                <w:sz w:val="24"/>
                <w:shd w:val="clear" w:color="auto" w:fill="FFFFFF"/>
              </w:rPr>
              <w:t>12</w:t>
            </w:r>
            <w:r w:rsidRPr="006321DC">
              <w:rPr>
                <w:bCs/>
                <w:color w:val="000000"/>
                <w:sz w:val="24"/>
                <w:shd w:val="clear" w:color="auto" w:fill="FFFFFF"/>
              </w:rPr>
              <w:t>.3</w:t>
            </w:r>
            <w:r w:rsidR="003A69C5" w:rsidRPr="006321DC">
              <w:rPr>
                <w:bCs/>
                <w:color w:val="000000"/>
                <w:sz w:val="24"/>
                <w:shd w:val="clear" w:color="auto" w:fill="FFFFFF"/>
              </w:rPr>
              <w:t>1</w:t>
            </w:r>
          </w:p>
        </w:tc>
      </w:tr>
      <w:tr w:rsidR="002574CE">
        <w:trPr>
          <w:trHeight w:val="340"/>
          <w:jc w:val="center"/>
        </w:trPr>
        <w:tc>
          <w:tcPr>
            <w:tcW w:w="1189" w:type="pct"/>
            <w:vMerge/>
            <w:vAlign w:val="center"/>
          </w:tcPr>
          <w:p w:rsidR="002574CE" w:rsidRDefault="002574CE">
            <w:pPr>
              <w:jc w:val="center"/>
              <w:rPr>
                <w:bCs/>
                <w:color w:val="000000"/>
                <w:sz w:val="24"/>
                <w:shd w:val="clear" w:color="auto" w:fill="FFFFFF"/>
              </w:rPr>
            </w:pPr>
          </w:p>
        </w:tc>
        <w:tc>
          <w:tcPr>
            <w:tcW w:w="1270"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资产总额</w:t>
            </w:r>
          </w:p>
        </w:tc>
        <w:tc>
          <w:tcPr>
            <w:tcW w:w="1270" w:type="pct"/>
          </w:tcPr>
          <w:p w:rsidR="002574CE" w:rsidRPr="006321DC" w:rsidRDefault="001D02D5" w:rsidP="00AD656F">
            <w:pPr>
              <w:jc w:val="right"/>
              <w:rPr>
                <w:bCs/>
                <w:color w:val="000000"/>
                <w:sz w:val="24"/>
                <w:shd w:val="clear" w:color="auto" w:fill="FFFFFF"/>
              </w:rPr>
            </w:pPr>
            <w:r w:rsidRPr="006321DC">
              <w:rPr>
                <w:bCs/>
                <w:color w:val="000000"/>
                <w:sz w:val="24"/>
                <w:shd w:val="clear" w:color="auto" w:fill="FFFFFF"/>
              </w:rPr>
              <w:t>6,171.</w:t>
            </w:r>
            <w:r w:rsidR="00AD656F" w:rsidRPr="006321DC">
              <w:rPr>
                <w:bCs/>
                <w:color w:val="000000"/>
                <w:sz w:val="24"/>
                <w:shd w:val="clear" w:color="auto" w:fill="FFFFFF"/>
              </w:rPr>
              <w:t>3</w:t>
            </w:r>
            <w:r w:rsidRPr="006321DC">
              <w:rPr>
                <w:bCs/>
                <w:color w:val="000000"/>
                <w:sz w:val="24"/>
                <w:shd w:val="clear" w:color="auto" w:fill="FFFFFF"/>
              </w:rPr>
              <w:t>8</w:t>
            </w:r>
          </w:p>
        </w:tc>
        <w:tc>
          <w:tcPr>
            <w:tcW w:w="1271" w:type="pct"/>
          </w:tcPr>
          <w:p w:rsidR="002574CE" w:rsidRPr="006321DC" w:rsidRDefault="00923EB7">
            <w:pPr>
              <w:jc w:val="right"/>
              <w:rPr>
                <w:bCs/>
                <w:color w:val="000000"/>
                <w:sz w:val="24"/>
                <w:shd w:val="clear" w:color="auto" w:fill="FFFFFF"/>
              </w:rPr>
            </w:pPr>
            <w:r w:rsidRPr="006321DC">
              <w:rPr>
                <w:bCs/>
                <w:color w:val="000000"/>
                <w:sz w:val="24"/>
                <w:shd w:val="clear" w:color="auto" w:fill="FFFFFF"/>
              </w:rPr>
              <w:t>8,521.35</w:t>
            </w:r>
          </w:p>
        </w:tc>
      </w:tr>
      <w:tr w:rsidR="002574CE">
        <w:trPr>
          <w:trHeight w:val="340"/>
          <w:jc w:val="center"/>
        </w:trPr>
        <w:tc>
          <w:tcPr>
            <w:tcW w:w="1189" w:type="pct"/>
            <w:vMerge/>
            <w:vAlign w:val="center"/>
          </w:tcPr>
          <w:p w:rsidR="002574CE" w:rsidRDefault="002574CE">
            <w:pPr>
              <w:jc w:val="center"/>
              <w:rPr>
                <w:bCs/>
                <w:color w:val="000000"/>
                <w:sz w:val="24"/>
                <w:shd w:val="clear" w:color="auto" w:fill="FFFFFF"/>
              </w:rPr>
            </w:pPr>
          </w:p>
        </w:tc>
        <w:tc>
          <w:tcPr>
            <w:tcW w:w="1270"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负债总额</w:t>
            </w:r>
          </w:p>
        </w:tc>
        <w:tc>
          <w:tcPr>
            <w:tcW w:w="1270" w:type="pct"/>
          </w:tcPr>
          <w:p w:rsidR="002574CE" w:rsidRPr="006321DC" w:rsidRDefault="001D02D5">
            <w:pPr>
              <w:jc w:val="right"/>
              <w:rPr>
                <w:bCs/>
                <w:color w:val="000000"/>
                <w:sz w:val="24"/>
                <w:shd w:val="clear" w:color="auto" w:fill="FFFFFF"/>
              </w:rPr>
            </w:pPr>
            <w:r w:rsidRPr="006321DC">
              <w:rPr>
                <w:bCs/>
                <w:color w:val="000000"/>
                <w:sz w:val="24"/>
                <w:shd w:val="clear" w:color="auto" w:fill="FFFFFF"/>
              </w:rPr>
              <w:t>6,546.79</w:t>
            </w:r>
          </w:p>
        </w:tc>
        <w:tc>
          <w:tcPr>
            <w:tcW w:w="1271" w:type="pct"/>
          </w:tcPr>
          <w:p w:rsidR="002574CE" w:rsidRPr="006321DC" w:rsidRDefault="00923EB7">
            <w:pPr>
              <w:jc w:val="right"/>
              <w:rPr>
                <w:bCs/>
                <w:color w:val="000000"/>
                <w:sz w:val="24"/>
                <w:shd w:val="clear" w:color="auto" w:fill="FFFFFF"/>
              </w:rPr>
            </w:pPr>
            <w:r w:rsidRPr="006321DC">
              <w:rPr>
                <w:bCs/>
                <w:color w:val="000000"/>
                <w:sz w:val="24"/>
                <w:shd w:val="clear" w:color="auto" w:fill="FFFFFF"/>
              </w:rPr>
              <w:t>8,846.82</w:t>
            </w:r>
          </w:p>
        </w:tc>
      </w:tr>
      <w:tr w:rsidR="002574CE">
        <w:trPr>
          <w:trHeight w:val="340"/>
          <w:jc w:val="center"/>
        </w:trPr>
        <w:tc>
          <w:tcPr>
            <w:tcW w:w="1189" w:type="pct"/>
            <w:vMerge/>
            <w:vAlign w:val="center"/>
          </w:tcPr>
          <w:p w:rsidR="002574CE" w:rsidRDefault="002574CE">
            <w:pPr>
              <w:jc w:val="center"/>
              <w:rPr>
                <w:bCs/>
                <w:color w:val="000000"/>
                <w:sz w:val="24"/>
                <w:shd w:val="clear" w:color="auto" w:fill="FFFFFF"/>
              </w:rPr>
            </w:pPr>
          </w:p>
        </w:tc>
        <w:tc>
          <w:tcPr>
            <w:tcW w:w="1270"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资产净额</w:t>
            </w:r>
          </w:p>
        </w:tc>
        <w:tc>
          <w:tcPr>
            <w:tcW w:w="1270" w:type="pct"/>
          </w:tcPr>
          <w:p w:rsidR="002574CE" w:rsidRPr="006321DC" w:rsidRDefault="001E7A72" w:rsidP="001D02D5">
            <w:pPr>
              <w:jc w:val="right"/>
              <w:rPr>
                <w:bCs/>
                <w:color w:val="000000"/>
                <w:sz w:val="24"/>
                <w:shd w:val="clear" w:color="auto" w:fill="FFFFFF"/>
              </w:rPr>
            </w:pPr>
            <w:r w:rsidRPr="006321DC">
              <w:rPr>
                <w:rFonts w:hint="eastAsia"/>
                <w:bCs/>
                <w:color w:val="000000"/>
                <w:sz w:val="24"/>
                <w:shd w:val="clear" w:color="auto" w:fill="FFFFFF"/>
              </w:rPr>
              <w:t>-</w:t>
            </w:r>
            <w:r w:rsidR="001D02D5" w:rsidRPr="006321DC">
              <w:rPr>
                <w:bCs/>
                <w:color w:val="000000"/>
                <w:sz w:val="24"/>
                <w:shd w:val="clear" w:color="auto" w:fill="FFFFFF"/>
              </w:rPr>
              <w:t>375.42</w:t>
            </w:r>
          </w:p>
        </w:tc>
        <w:tc>
          <w:tcPr>
            <w:tcW w:w="1271" w:type="pct"/>
          </w:tcPr>
          <w:p w:rsidR="002574CE" w:rsidRPr="006321DC" w:rsidRDefault="00923EB7" w:rsidP="00445D41">
            <w:pPr>
              <w:jc w:val="right"/>
              <w:rPr>
                <w:bCs/>
                <w:color w:val="000000"/>
                <w:sz w:val="24"/>
                <w:shd w:val="clear" w:color="auto" w:fill="FFFFFF"/>
              </w:rPr>
            </w:pPr>
            <w:r w:rsidRPr="006321DC">
              <w:rPr>
                <w:bCs/>
                <w:color w:val="000000"/>
                <w:sz w:val="24"/>
                <w:shd w:val="clear" w:color="auto" w:fill="FFFFFF"/>
              </w:rPr>
              <w:t>-325.48</w:t>
            </w:r>
          </w:p>
        </w:tc>
      </w:tr>
      <w:tr w:rsidR="002574CE">
        <w:trPr>
          <w:trHeight w:val="340"/>
          <w:jc w:val="center"/>
        </w:trPr>
        <w:tc>
          <w:tcPr>
            <w:tcW w:w="1189" w:type="pct"/>
            <w:vMerge/>
            <w:vAlign w:val="center"/>
          </w:tcPr>
          <w:p w:rsidR="002574CE" w:rsidRDefault="002574CE">
            <w:pPr>
              <w:jc w:val="center"/>
              <w:rPr>
                <w:bCs/>
                <w:color w:val="000000"/>
                <w:sz w:val="24"/>
                <w:shd w:val="clear" w:color="auto" w:fill="FFFFFF"/>
              </w:rPr>
            </w:pPr>
          </w:p>
        </w:tc>
        <w:tc>
          <w:tcPr>
            <w:tcW w:w="1270"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营业收入</w:t>
            </w:r>
          </w:p>
        </w:tc>
        <w:tc>
          <w:tcPr>
            <w:tcW w:w="1270" w:type="pct"/>
          </w:tcPr>
          <w:p w:rsidR="002574CE" w:rsidRPr="006321DC" w:rsidRDefault="001E7A72" w:rsidP="001D02D5">
            <w:pPr>
              <w:jc w:val="right"/>
              <w:rPr>
                <w:bCs/>
                <w:color w:val="000000"/>
                <w:sz w:val="24"/>
                <w:shd w:val="clear" w:color="auto" w:fill="FFFFFF"/>
              </w:rPr>
            </w:pPr>
            <w:r w:rsidRPr="006321DC">
              <w:rPr>
                <w:rFonts w:hint="eastAsia"/>
                <w:bCs/>
                <w:color w:val="000000"/>
                <w:sz w:val="24"/>
                <w:shd w:val="clear" w:color="auto" w:fill="FFFFFF"/>
              </w:rPr>
              <w:t>2</w:t>
            </w:r>
            <w:r w:rsidRPr="006321DC">
              <w:rPr>
                <w:bCs/>
                <w:color w:val="000000"/>
                <w:sz w:val="24"/>
                <w:shd w:val="clear" w:color="auto" w:fill="FFFFFF"/>
              </w:rPr>
              <w:t>0,</w:t>
            </w:r>
            <w:r w:rsidR="001D02D5" w:rsidRPr="006321DC">
              <w:rPr>
                <w:bCs/>
                <w:color w:val="000000"/>
                <w:sz w:val="24"/>
                <w:shd w:val="clear" w:color="auto" w:fill="FFFFFF"/>
              </w:rPr>
              <w:t>142.97</w:t>
            </w:r>
          </w:p>
        </w:tc>
        <w:tc>
          <w:tcPr>
            <w:tcW w:w="1271" w:type="pct"/>
          </w:tcPr>
          <w:p w:rsidR="002574CE" w:rsidRPr="006321DC" w:rsidRDefault="00923EB7">
            <w:pPr>
              <w:jc w:val="right"/>
              <w:rPr>
                <w:bCs/>
                <w:color w:val="000000"/>
                <w:sz w:val="24"/>
                <w:shd w:val="clear" w:color="auto" w:fill="FFFFFF"/>
              </w:rPr>
            </w:pPr>
            <w:r w:rsidRPr="006321DC">
              <w:rPr>
                <w:bCs/>
                <w:color w:val="000000"/>
                <w:sz w:val="24"/>
                <w:shd w:val="clear" w:color="auto" w:fill="FFFFFF"/>
              </w:rPr>
              <w:t>24,924.38</w:t>
            </w:r>
          </w:p>
        </w:tc>
      </w:tr>
      <w:tr w:rsidR="002574CE">
        <w:trPr>
          <w:trHeight w:val="340"/>
          <w:jc w:val="center"/>
        </w:trPr>
        <w:tc>
          <w:tcPr>
            <w:tcW w:w="1189" w:type="pct"/>
            <w:vMerge/>
            <w:vAlign w:val="center"/>
          </w:tcPr>
          <w:p w:rsidR="002574CE" w:rsidRDefault="002574CE">
            <w:pPr>
              <w:jc w:val="center"/>
              <w:rPr>
                <w:bCs/>
                <w:color w:val="000000"/>
                <w:sz w:val="24"/>
                <w:shd w:val="clear" w:color="auto" w:fill="FFFFFF"/>
              </w:rPr>
            </w:pPr>
          </w:p>
        </w:tc>
        <w:tc>
          <w:tcPr>
            <w:tcW w:w="1270"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净利润</w:t>
            </w:r>
          </w:p>
        </w:tc>
        <w:tc>
          <w:tcPr>
            <w:tcW w:w="1270" w:type="pct"/>
          </w:tcPr>
          <w:p w:rsidR="002574CE" w:rsidRPr="006321DC" w:rsidRDefault="001D02D5">
            <w:pPr>
              <w:jc w:val="right"/>
              <w:rPr>
                <w:bCs/>
                <w:color w:val="000000"/>
                <w:sz w:val="24"/>
                <w:shd w:val="clear" w:color="auto" w:fill="FFFFFF"/>
              </w:rPr>
            </w:pPr>
            <w:r w:rsidRPr="006321DC">
              <w:rPr>
                <w:bCs/>
                <w:color w:val="000000"/>
                <w:sz w:val="24"/>
                <w:shd w:val="clear" w:color="auto" w:fill="FFFFFF"/>
              </w:rPr>
              <w:t>239.35</w:t>
            </w:r>
          </w:p>
        </w:tc>
        <w:tc>
          <w:tcPr>
            <w:tcW w:w="1271" w:type="pct"/>
          </w:tcPr>
          <w:p w:rsidR="002574CE" w:rsidRPr="006321DC" w:rsidRDefault="00923EB7" w:rsidP="00445D41">
            <w:pPr>
              <w:jc w:val="right"/>
              <w:rPr>
                <w:bCs/>
                <w:color w:val="000000"/>
                <w:sz w:val="24"/>
                <w:shd w:val="clear" w:color="auto" w:fill="FFFFFF"/>
              </w:rPr>
            </w:pPr>
            <w:r w:rsidRPr="006321DC">
              <w:rPr>
                <w:bCs/>
                <w:color w:val="000000"/>
                <w:sz w:val="24"/>
                <w:shd w:val="clear" w:color="auto" w:fill="FFFFFF"/>
              </w:rPr>
              <w:t>49.94</w:t>
            </w:r>
          </w:p>
        </w:tc>
      </w:tr>
      <w:tr w:rsidR="002574CE">
        <w:trPr>
          <w:trHeight w:val="340"/>
          <w:jc w:val="center"/>
        </w:trPr>
        <w:tc>
          <w:tcPr>
            <w:tcW w:w="1189" w:type="pct"/>
            <w:vMerge/>
            <w:vAlign w:val="center"/>
          </w:tcPr>
          <w:p w:rsidR="002574CE" w:rsidRDefault="002574CE">
            <w:pPr>
              <w:jc w:val="center"/>
              <w:rPr>
                <w:bCs/>
                <w:color w:val="000000"/>
                <w:sz w:val="24"/>
                <w:shd w:val="clear" w:color="auto" w:fill="FFFFFF"/>
              </w:rPr>
            </w:pPr>
          </w:p>
        </w:tc>
        <w:tc>
          <w:tcPr>
            <w:tcW w:w="1270" w:type="pct"/>
            <w:vAlign w:val="center"/>
          </w:tcPr>
          <w:p w:rsidR="002574CE" w:rsidRDefault="001E7A72">
            <w:pPr>
              <w:jc w:val="center"/>
              <w:rPr>
                <w:bCs/>
                <w:color w:val="000000"/>
                <w:sz w:val="24"/>
                <w:shd w:val="clear" w:color="auto" w:fill="FFFFFF"/>
              </w:rPr>
            </w:pPr>
            <w:proofErr w:type="gramStart"/>
            <w:r>
              <w:rPr>
                <w:rFonts w:hint="eastAsia"/>
                <w:bCs/>
                <w:color w:val="000000"/>
                <w:sz w:val="24"/>
                <w:shd w:val="clear" w:color="auto" w:fill="FFFFFF"/>
              </w:rPr>
              <w:t>扣非后</w:t>
            </w:r>
            <w:proofErr w:type="gramEnd"/>
            <w:r>
              <w:rPr>
                <w:rFonts w:hint="eastAsia"/>
                <w:bCs/>
                <w:color w:val="000000"/>
                <w:sz w:val="24"/>
                <w:shd w:val="clear" w:color="auto" w:fill="FFFFFF"/>
              </w:rPr>
              <w:t>净利润</w:t>
            </w:r>
          </w:p>
        </w:tc>
        <w:tc>
          <w:tcPr>
            <w:tcW w:w="1270" w:type="pct"/>
          </w:tcPr>
          <w:p w:rsidR="002574CE" w:rsidRPr="006321DC" w:rsidRDefault="001D02D5">
            <w:pPr>
              <w:jc w:val="right"/>
              <w:rPr>
                <w:bCs/>
                <w:color w:val="000000"/>
                <w:sz w:val="24"/>
                <w:shd w:val="clear" w:color="auto" w:fill="FFFFFF"/>
              </w:rPr>
            </w:pPr>
            <w:r w:rsidRPr="006321DC">
              <w:rPr>
                <w:bCs/>
                <w:color w:val="000000"/>
                <w:sz w:val="24"/>
                <w:shd w:val="clear" w:color="auto" w:fill="FFFFFF"/>
              </w:rPr>
              <w:t>236.20</w:t>
            </w:r>
          </w:p>
        </w:tc>
        <w:tc>
          <w:tcPr>
            <w:tcW w:w="1271" w:type="pct"/>
          </w:tcPr>
          <w:p w:rsidR="002574CE" w:rsidRPr="006321DC" w:rsidRDefault="001E7A72" w:rsidP="00014C02">
            <w:pPr>
              <w:jc w:val="right"/>
              <w:rPr>
                <w:bCs/>
                <w:color w:val="000000"/>
                <w:sz w:val="24"/>
                <w:shd w:val="clear" w:color="auto" w:fill="FFFFFF"/>
              </w:rPr>
            </w:pPr>
            <w:r w:rsidRPr="006321DC">
              <w:rPr>
                <w:rFonts w:hint="eastAsia"/>
                <w:bCs/>
                <w:color w:val="000000"/>
                <w:sz w:val="24"/>
                <w:shd w:val="clear" w:color="auto" w:fill="FFFFFF"/>
              </w:rPr>
              <w:t>-</w:t>
            </w:r>
            <w:r w:rsidR="00014C02" w:rsidRPr="006321DC">
              <w:rPr>
                <w:bCs/>
                <w:color w:val="000000"/>
                <w:sz w:val="24"/>
                <w:shd w:val="clear" w:color="auto" w:fill="FFFFFF"/>
              </w:rPr>
              <w:t>127.79</w:t>
            </w:r>
          </w:p>
        </w:tc>
      </w:tr>
    </w:tbl>
    <w:p w:rsidR="002574CE" w:rsidRDefault="002574CE">
      <w:pPr>
        <w:widowControl/>
        <w:adjustRightInd w:val="0"/>
        <w:snapToGrid w:val="0"/>
        <w:spacing w:line="600" w:lineRule="exact"/>
        <w:rPr>
          <w:rFonts w:ascii="宋体" w:hAnsi="宋体"/>
          <w:sz w:val="28"/>
          <w:szCs w:val="28"/>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68"/>
        <w:gridCol w:w="2102"/>
        <w:gridCol w:w="2102"/>
        <w:gridCol w:w="2104"/>
      </w:tblGrid>
      <w:tr w:rsidR="002574CE">
        <w:trPr>
          <w:trHeight w:val="340"/>
          <w:jc w:val="center"/>
        </w:trPr>
        <w:tc>
          <w:tcPr>
            <w:tcW w:w="1189"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公司名称</w:t>
            </w:r>
          </w:p>
        </w:tc>
        <w:tc>
          <w:tcPr>
            <w:tcW w:w="3811" w:type="pct"/>
            <w:gridSpan w:val="3"/>
            <w:vAlign w:val="center"/>
          </w:tcPr>
          <w:p w:rsidR="002574CE" w:rsidRDefault="001E7A72">
            <w:pPr>
              <w:rPr>
                <w:bCs/>
                <w:color w:val="000000"/>
                <w:sz w:val="24"/>
                <w:shd w:val="clear" w:color="auto" w:fill="FFFFFF"/>
              </w:rPr>
            </w:pPr>
            <w:r>
              <w:rPr>
                <w:rFonts w:hint="eastAsia"/>
                <w:bCs/>
                <w:color w:val="000000"/>
                <w:sz w:val="24"/>
                <w:shd w:val="clear" w:color="auto" w:fill="FFFFFF"/>
              </w:rPr>
              <w:t>东莞有方物联网科技有限公司</w:t>
            </w:r>
          </w:p>
        </w:tc>
      </w:tr>
      <w:tr w:rsidR="002574CE">
        <w:trPr>
          <w:trHeight w:val="340"/>
          <w:jc w:val="center"/>
        </w:trPr>
        <w:tc>
          <w:tcPr>
            <w:tcW w:w="1189"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注册资本</w:t>
            </w:r>
          </w:p>
        </w:tc>
        <w:tc>
          <w:tcPr>
            <w:tcW w:w="3811" w:type="pct"/>
            <w:gridSpan w:val="3"/>
            <w:vAlign w:val="center"/>
          </w:tcPr>
          <w:p w:rsidR="002574CE" w:rsidRDefault="001E7A72">
            <w:pPr>
              <w:rPr>
                <w:bCs/>
                <w:color w:val="000000"/>
                <w:sz w:val="24"/>
                <w:shd w:val="clear" w:color="auto" w:fill="FFFFFF"/>
              </w:rPr>
            </w:pPr>
            <w:r>
              <w:rPr>
                <w:bCs/>
                <w:color w:val="000000"/>
                <w:sz w:val="24"/>
                <w:shd w:val="clear" w:color="auto" w:fill="FFFFFF"/>
              </w:rPr>
              <w:t>1,</w:t>
            </w:r>
            <w:r>
              <w:rPr>
                <w:rFonts w:hint="eastAsia"/>
                <w:bCs/>
                <w:color w:val="000000"/>
                <w:sz w:val="24"/>
                <w:shd w:val="clear" w:color="auto" w:fill="FFFFFF"/>
              </w:rPr>
              <w:t>0</w:t>
            </w:r>
            <w:r>
              <w:rPr>
                <w:bCs/>
                <w:color w:val="000000"/>
                <w:sz w:val="24"/>
                <w:shd w:val="clear" w:color="auto" w:fill="FFFFFF"/>
              </w:rPr>
              <w:t>00</w:t>
            </w:r>
            <w:r>
              <w:rPr>
                <w:rFonts w:hint="eastAsia"/>
                <w:bCs/>
                <w:color w:val="000000"/>
                <w:sz w:val="24"/>
                <w:shd w:val="clear" w:color="auto" w:fill="FFFFFF"/>
              </w:rPr>
              <w:t>万元</w:t>
            </w:r>
          </w:p>
        </w:tc>
      </w:tr>
      <w:tr w:rsidR="002574CE">
        <w:trPr>
          <w:trHeight w:val="340"/>
          <w:jc w:val="center"/>
        </w:trPr>
        <w:tc>
          <w:tcPr>
            <w:tcW w:w="1189"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注册地址</w:t>
            </w:r>
          </w:p>
        </w:tc>
        <w:tc>
          <w:tcPr>
            <w:tcW w:w="3811" w:type="pct"/>
            <w:gridSpan w:val="3"/>
            <w:vAlign w:val="center"/>
          </w:tcPr>
          <w:p w:rsidR="002574CE" w:rsidRDefault="001E7A72">
            <w:pPr>
              <w:rPr>
                <w:bCs/>
                <w:color w:val="000000"/>
                <w:sz w:val="24"/>
                <w:shd w:val="clear" w:color="auto" w:fill="FFFFFF"/>
              </w:rPr>
            </w:pPr>
            <w:r>
              <w:rPr>
                <w:rFonts w:hint="eastAsia"/>
                <w:bCs/>
                <w:color w:val="000000"/>
                <w:sz w:val="24"/>
                <w:shd w:val="clear" w:color="auto" w:fill="FFFFFF"/>
              </w:rPr>
              <w:t>广东省东莞市松山湖园区科技四路</w:t>
            </w:r>
            <w:r>
              <w:rPr>
                <w:rFonts w:hint="eastAsia"/>
                <w:bCs/>
                <w:color w:val="000000"/>
                <w:sz w:val="24"/>
                <w:shd w:val="clear" w:color="auto" w:fill="FFFFFF"/>
              </w:rPr>
              <w:t>11</w:t>
            </w:r>
            <w:r>
              <w:rPr>
                <w:rFonts w:hint="eastAsia"/>
                <w:bCs/>
                <w:color w:val="000000"/>
                <w:sz w:val="24"/>
                <w:shd w:val="clear" w:color="auto" w:fill="FFFFFF"/>
              </w:rPr>
              <w:t>号</w:t>
            </w:r>
            <w:r>
              <w:rPr>
                <w:rFonts w:hint="eastAsia"/>
                <w:bCs/>
                <w:color w:val="000000"/>
                <w:sz w:val="24"/>
                <w:shd w:val="clear" w:color="auto" w:fill="FFFFFF"/>
              </w:rPr>
              <w:t>1</w:t>
            </w:r>
            <w:r>
              <w:rPr>
                <w:rFonts w:hint="eastAsia"/>
                <w:bCs/>
                <w:color w:val="000000"/>
                <w:sz w:val="24"/>
                <w:shd w:val="clear" w:color="auto" w:fill="FFFFFF"/>
              </w:rPr>
              <w:t>栋</w:t>
            </w:r>
            <w:r>
              <w:rPr>
                <w:rFonts w:hint="eastAsia"/>
                <w:bCs/>
                <w:color w:val="000000"/>
                <w:sz w:val="24"/>
                <w:shd w:val="clear" w:color="auto" w:fill="FFFFFF"/>
              </w:rPr>
              <w:t>202</w:t>
            </w:r>
            <w:r>
              <w:rPr>
                <w:rFonts w:hint="eastAsia"/>
                <w:bCs/>
                <w:color w:val="000000"/>
                <w:sz w:val="24"/>
                <w:shd w:val="clear" w:color="auto" w:fill="FFFFFF"/>
              </w:rPr>
              <w:t>室、</w:t>
            </w:r>
            <w:r>
              <w:rPr>
                <w:rFonts w:hint="eastAsia"/>
                <w:bCs/>
                <w:color w:val="000000"/>
                <w:sz w:val="24"/>
                <w:shd w:val="clear" w:color="auto" w:fill="FFFFFF"/>
              </w:rPr>
              <w:t>506</w:t>
            </w:r>
            <w:r>
              <w:rPr>
                <w:rFonts w:hint="eastAsia"/>
                <w:bCs/>
                <w:color w:val="000000"/>
                <w:sz w:val="24"/>
                <w:shd w:val="clear" w:color="auto" w:fill="FFFFFF"/>
              </w:rPr>
              <w:t>室、</w:t>
            </w:r>
            <w:r>
              <w:rPr>
                <w:rFonts w:hint="eastAsia"/>
                <w:bCs/>
                <w:color w:val="000000"/>
                <w:sz w:val="24"/>
                <w:shd w:val="clear" w:color="auto" w:fill="FFFFFF"/>
              </w:rPr>
              <w:t>507</w:t>
            </w:r>
            <w:r>
              <w:rPr>
                <w:rFonts w:hint="eastAsia"/>
                <w:bCs/>
                <w:color w:val="000000"/>
                <w:sz w:val="24"/>
                <w:shd w:val="clear" w:color="auto" w:fill="FFFFFF"/>
              </w:rPr>
              <w:t>室、</w:t>
            </w:r>
            <w:r>
              <w:rPr>
                <w:rFonts w:hint="eastAsia"/>
                <w:bCs/>
                <w:color w:val="000000"/>
                <w:sz w:val="24"/>
                <w:shd w:val="clear" w:color="auto" w:fill="FFFFFF"/>
              </w:rPr>
              <w:t>508</w:t>
            </w:r>
            <w:r>
              <w:rPr>
                <w:rFonts w:hint="eastAsia"/>
                <w:bCs/>
                <w:color w:val="000000"/>
                <w:sz w:val="24"/>
                <w:shd w:val="clear" w:color="auto" w:fill="FFFFFF"/>
              </w:rPr>
              <w:t>室、</w:t>
            </w:r>
            <w:r>
              <w:rPr>
                <w:rFonts w:hint="eastAsia"/>
                <w:bCs/>
                <w:color w:val="000000"/>
                <w:sz w:val="24"/>
                <w:shd w:val="clear" w:color="auto" w:fill="FFFFFF"/>
              </w:rPr>
              <w:t>601</w:t>
            </w:r>
            <w:r>
              <w:rPr>
                <w:rFonts w:hint="eastAsia"/>
                <w:bCs/>
                <w:color w:val="000000"/>
                <w:sz w:val="24"/>
                <w:shd w:val="clear" w:color="auto" w:fill="FFFFFF"/>
              </w:rPr>
              <w:t>室、</w:t>
            </w:r>
            <w:r>
              <w:rPr>
                <w:rFonts w:hint="eastAsia"/>
                <w:bCs/>
                <w:color w:val="000000"/>
                <w:sz w:val="24"/>
                <w:shd w:val="clear" w:color="auto" w:fill="FFFFFF"/>
              </w:rPr>
              <w:t>602</w:t>
            </w:r>
            <w:r>
              <w:rPr>
                <w:rFonts w:hint="eastAsia"/>
                <w:bCs/>
                <w:color w:val="000000"/>
                <w:sz w:val="24"/>
                <w:shd w:val="clear" w:color="auto" w:fill="FFFFFF"/>
              </w:rPr>
              <w:t>室、</w:t>
            </w:r>
            <w:r>
              <w:rPr>
                <w:rFonts w:hint="eastAsia"/>
                <w:bCs/>
                <w:color w:val="000000"/>
                <w:sz w:val="24"/>
                <w:shd w:val="clear" w:color="auto" w:fill="FFFFFF"/>
              </w:rPr>
              <w:t>610</w:t>
            </w:r>
            <w:r>
              <w:rPr>
                <w:rFonts w:hint="eastAsia"/>
                <w:bCs/>
                <w:color w:val="000000"/>
                <w:sz w:val="24"/>
                <w:shd w:val="clear" w:color="auto" w:fill="FFFFFF"/>
              </w:rPr>
              <w:t>室</w:t>
            </w:r>
          </w:p>
        </w:tc>
      </w:tr>
      <w:tr w:rsidR="002574CE">
        <w:trPr>
          <w:trHeight w:val="340"/>
          <w:jc w:val="center"/>
        </w:trPr>
        <w:tc>
          <w:tcPr>
            <w:tcW w:w="1189"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法定代表人</w:t>
            </w:r>
          </w:p>
        </w:tc>
        <w:tc>
          <w:tcPr>
            <w:tcW w:w="3811" w:type="pct"/>
            <w:gridSpan w:val="3"/>
            <w:vAlign w:val="center"/>
          </w:tcPr>
          <w:p w:rsidR="002574CE" w:rsidRDefault="00D82EDD">
            <w:pPr>
              <w:rPr>
                <w:bCs/>
                <w:color w:val="000000"/>
                <w:sz w:val="24"/>
                <w:shd w:val="clear" w:color="auto" w:fill="FFFFFF"/>
              </w:rPr>
            </w:pPr>
            <w:r>
              <w:rPr>
                <w:rFonts w:hint="eastAsia"/>
                <w:bCs/>
                <w:color w:val="000000"/>
                <w:sz w:val="24"/>
                <w:shd w:val="clear" w:color="auto" w:fill="FFFFFF"/>
              </w:rPr>
              <w:t>魏琼</w:t>
            </w:r>
          </w:p>
        </w:tc>
      </w:tr>
      <w:tr w:rsidR="002574CE">
        <w:trPr>
          <w:trHeight w:val="340"/>
          <w:jc w:val="center"/>
        </w:trPr>
        <w:tc>
          <w:tcPr>
            <w:tcW w:w="1189"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经营范围</w:t>
            </w:r>
          </w:p>
        </w:tc>
        <w:tc>
          <w:tcPr>
            <w:tcW w:w="3811" w:type="pct"/>
            <w:gridSpan w:val="3"/>
            <w:vAlign w:val="center"/>
          </w:tcPr>
          <w:p w:rsidR="002574CE" w:rsidRDefault="00D82EDD">
            <w:pPr>
              <w:rPr>
                <w:bCs/>
                <w:color w:val="000000"/>
                <w:sz w:val="24"/>
                <w:shd w:val="clear" w:color="auto" w:fill="FFFFFF"/>
              </w:rPr>
            </w:pPr>
            <w:r w:rsidRPr="00D82EDD">
              <w:rPr>
                <w:rFonts w:hint="eastAsia"/>
                <w:bCs/>
                <w:color w:val="000000"/>
                <w:sz w:val="24"/>
                <w:shd w:val="clear" w:color="auto" w:fill="FFFFFF"/>
              </w:rPr>
              <w:t>物联网设备制造；通信设备制造；智能车载设备制造；移动终端设备制造；移动通信设备制造；</w:t>
            </w:r>
            <w:proofErr w:type="gramStart"/>
            <w:r w:rsidRPr="00D82EDD">
              <w:rPr>
                <w:rFonts w:hint="eastAsia"/>
                <w:bCs/>
                <w:color w:val="000000"/>
                <w:sz w:val="24"/>
                <w:shd w:val="clear" w:color="auto" w:fill="FFFFFF"/>
              </w:rPr>
              <w:t>云计算</w:t>
            </w:r>
            <w:proofErr w:type="gramEnd"/>
            <w:r w:rsidRPr="00D82EDD">
              <w:rPr>
                <w:rFonts w:hint="eastAsia"/>
                <w:bCs/>
                <w:color w:val="000000"/>
                <w:sz w:val="24"/>
                <w:shd w:val="clear" w:color="auto" w:fill="FFFFFF"/>
              </w:rPr>
              <w:t>设备制造；终端测试设备制造；网络设备制造；计算机软硬件及外围设备制造；软件开发；物联网技术研发；人工智能基础软件开发；人工智能应用软件开发；物联网设备销售；通讯设备销售；移动终端设备销售；智能车载设备销售；人工智能硬件销售；</w:t>
            </w:r>
            <w:proofErr w:type="gramStart"/>
            <w:r w:rsidRPr="00D82EDD">
              <w:rPr>
                <w:rFonts w:hint="eastAsia"/>
                <w:bCs/>
                <w:color w:val="000000"/>
                <w:sz w:val="24"/>
                <w:shd w:val="clear" w:color="auto" w:fill="FFFFFF"/>
              </w:rPr>
              <w:t>云计算</w:t>
            </w:r>
            <w:proofErr w:type="gramEnd"/>
            <w:r w:rsidRPr="00D82EDD">
              <w:rPr>
                <w:rFonts w:hint="eastAsia"/>
                <w:bCs/>
                <w:color w:val="000000"/>
                <w:sz w:val="24"/>
                <w:shd w:val="clear" w:color="auto" w:fill="FFFFFF"/>
              </w:rPr>
              <w:t>设备销售；电子产品销售；电子元器件零售；物联网技术服务；</w:t>
            </w:r>
            <w:proofErr w:type="gramStart"/>
            <w:r w:rsidRPr="00D82EDD">
              <w:rPr>
                <w:rFonts w:hint="eastAsia"/>
                <w:bCs/>
                <w:color w:val="000000"/>
                <w:sz w:val="24"/>
                <w:shd w:val="clear" w:color="auto" w:fill="FFFFFF"/>
              </w:rPr>
              <w:t>云计算</w:t>
            </w:r>
            <w:proofErr w:type="gramEnd"/>
            <w:r w:rsidRPr="00D82EDD">
              <w:rPr>
                <w:rFonts w:hint="eastAsia"/>
                <w:bCs/>
                <w:color w:val="000000"/>
                <w:sz w:val="24"/>
                <w:shd w:val="clear" w:color="auto" w:fill="FFFFFF"/>
              </w:rPr>
              <w:t>装备技术服务；大数据服务；网络技术服务；信息技术咨询服务；技术服务、技术开发、技术咨询、技术交流、技术转让、技术推广；货物进出口；技术进出口。</w:t>
            </w:r>
          </w:p>
        </w:tc>
      </w:tr>
      <w:tr w:rsidR="002574CE">
        <w:trPr>
          <w:trHeight w:val="340"/>
          <w:jc w:val="center"/>
        </w:trPr>
        <w:tc>
          <w:tcPr>
            <w:tcW w:w="1189" w:type="pct"/>
            <w:vMerge w:val="restar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主要财务数据</w:t>
            </w:r>
          </w:p>
          <w:p w:rsidR="002574CE" w:rsidRDefault="001E7A72">
            <w:pPr>
              <w:jc w:val="center"/>
              <w:rPr>
                <w:bCs/>
                <w:color w:val="000000"/>
                <w:sz w:val="24"/>
                <w:shd w:val="clear" w:color="auto" w:fill="FFFFFF"/>
              </w:rPr>
            </w:pPr>
            <w:r>
              <w:rPr>
                <w:rFonts w:hint="eastAsia"/>
                <w:bCs/>
                <w:color w:val="000000"/>
                <w:sz w:val="24"/>
                <w:shd w:val="clear" w:color="auto" w:fill="FFFFFF"/>
              </w:rPr>
              <w:t>（万元）</w:t>
            </w:r>
          </w:p>
        </w:tc>
        <w:tc>
          <w:tcPr>
            <w:tcW w:w="1270"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项目</w:t>
            </w:r>
          </w:p>
        </w:tc>
        <w:tc>
          <w:tcPr>
            <w:tcW w:w="1270" w:type="pct"/>
            <w:vAlign w:val="center"/>
          </w:tcPr>
          <w:p w:rsidR="002574CE" w:rsidRPr="006321DC" w:rsidRDefault="001E7A72" w:rsidP="001D02D5">
            <w:pPr>
              <w:jc w:val="center"/>
              <w:rPr>
                <w:bCs/>
                <w:color w:val="000000"/>
                <w:sz w:val="24"/>
                <w:shd w:val="clear" w:color="auto" w:fill="FFFFFF"/>
              </w:rPr>
            </w:pPr>
            <w:r w:rsidRPr="006321DC">
              <w:rPr>
                <w:rFonts w:hint="eastAsia"/>
                <w:bCs/>
                <w:color w:val="000000"/>
                <w:sz w:val="24"/>
                <w:shd w:val="clear" w:color="auto" w:fill="FFFFFF"/>
              </w:rPr>
              <w:t>202</w:t>
            </w:r>
            <w:r w:rsidR="001D02D5" w:rsidRPr="006321DC">
              <w:rPr>
                <w:bCs/>
                <w:color w:val="000000"/>
                <w:sz w:val="24"/>
                <w:shd w:val="clear" w:color="auto" w:fill="FFFFFF"/>
              </w:rPr>
              <w:t>3</w:t>
            </w:r>
            <w:r w:rsidRPr="006321DC">
              <w:rPr>
                <w:rFonts w:hint="eastAsia"/>
                <w:bCs/>
                <w:color w:val="000000"/>
                <w:sz w:val="24"/>
                <w:shd w:val="clear" w:color="auto" w:fill="FFFFFF"/>
              </w:rPr>
              <w:t>年</w:t>
            </w:r>
            <w:r w:rsidRPr="006321DC">
              <w:rPr>
                <w:rFonts w:hint="eastAsia"/>
                <w:bCs/>
                <w:color w:val="000000"/>
                <w:sz w:val="24"/>
                <w:shd w:val="clear" w:color="auto" w:fill="FFFFFF"/>
              </w:rPr>
              <w:t>/</w:t>
            </w:r>
            <w:r w:rsidRPr="006321DC">
              <w:rPr>
                <w:bCs/>
                <w:color w:val="000000"/>
                <w:sz w:val="24"/>
                <w:shd w:val="clear" w:color="auto" w:fill="FFFFFF"/>
              </w:rPr>
              <w:t>202</w:t>
            </w:r>
            <w:r w:rsidR="001D02D5" w:rsidRPr="006321DC">
              <w:rPr>
                <w:bCs/>
                <w:color w:val="000000"/>
                <w:sz w:val="24"/>
                <w:shd w:val="clear" w:color="auto" w:fill="FFFFFF"/>
              </w:rPr>
              <w:t>3</w:t>
            </w:r>
            <w:r w:rsidRPr="006321DC">
              <w:rPr>
                <w:bCs/>
                <w:color w:val="000000"/>
                <w:sz w:val="24"/>
                <w:shd w:val="clear" w:color="auto" w:fill="FFFFFF"/>
              </w:rPr>
              <w:t>.12.31</w:t>
            </w:r>
          </w:p>
        </w:tc>
        <w:tc>
          <w:tcPr>
            <w:tcW w:w="1271" w:type="pct"/>
            <w:vAlign w:val="center"/>
          </w:tcPr>
          <w:p w:rsidR="002574CE" w:rsidRPr="006321DC" w:rsidRDefault="008F4DEA" w:rsidP="003A69C5">
            <w:pPr>
              <w:jc w:val="center"/>
              <w:rPr>
                <w:bCs/>
                <w:color w:val="000000"/>
                <w:sz w:val="24"/>
                <w:shd w:val="clear" w:color="auto" w:fill="FFFFFF"/>
              </w:rPr>
            </w:pPr>
            <w:r w:rsidRPr="006321DC">
              <w:rPr>
                <w:rFonts w:hint="eastAsia"/>
                <w:bCs/>
                <w:color w:val="000000"/>
                <w:sz w:val="24"/>
                <w:shd w:val="clear" w:color="auto" w:fill="FFFFFF"/>
              </w:rPr>
              <w:t>202</w:t>
            </w:r>
            <w:r w:rsidRPr="006321DC">
              <w:rPr>
                <w:bCs/>
                <w:color w:val="000000"/>
                <w:sz w:val="24"/>
                <w:shd w:val="clear" w:color="auto" w:fill="FFFFFF"/>
              </w:rPr>
              <w:t>4</w:t>
            </w:r>
            <w:r w:rsidRPr="006321DC">
              <w:rPr>
                <w:rFonts w:hint="eastAsia"/>
                <w:bCs/>
                <w:color w:val="000000"/>
                <w:sz w:val="24"/>
                <w:shd w:val="clear" w:color="auto" w:fill="FFFFFF"/>
              </w:rPr>
              <w:t>年</w:t>
            </w:r>
            <w:r w:rsidRPr="006321DC">
              <w:rPr>
                <w:rFonts w:hint="eastAsia"/>
                <w:bCs/>
                <w:color w:val="000000"/>
                <w:sz w:val="24"/>
                <w:shd w:val="clear" w:color="auto" w:fill="FFFFFF"/>
              </w:rPr>
              <w:t>/</w:t>
            </w:r>
            <w:r w:rsidR="00DC5EBD" w:rsidRPr="006321DC">
              <w:rPr>
                <w:bCs/>
                <w:color w:val="000000"/>
                <w:sz w:val="24"/>
                <w:shd w:val="clear" w:color="auto" w:fill="FFFFFF"/>
              </w:rPr>
              <w:t>2024.12.31</w:t>
            </w:r>
          </w:p>
        </w:tc>
      </w:tr>
      <w:tr w:rsidR="002574CE">
        <w:trPr>
          <w:trHeight w:val="340"/>
          <w:jc w:val="center"/>
        </w:trPr>
        <w:tc>
          <w:tcPr>
            <w:tcW w:w="1189" w:type="pct"/>
            <w:vMerge/>
            <w:vAlign w:val="center"/>
          </w:tcPr>
          <w:p w:rsidR="002574CE" w:rsidRDefault="002574CE">
            <w:pPr>
              <w:jc w:val="center"/>
              <w:rPr>
                <w:bCs/>
                <w:color w:val="000000"/>
                <w:sz w:val="24"/>
                <w:shd w:val="clear" w:color="auto" w:fill="FFFFFF"/>
              </w:rPr>
            </w:pPr>
          </w:p>
        </w:tc>
        <w:tc>
          <w:tcPr>
            <w:tcW w:w="1270"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资产总额</w:t>
            </w:r>
          </w:p>
        </w:tc>
        <w:tc>
          <w:tcPr>
            <w:tcW w:w="1270" w:type="pct"/>
          </w:tcPr>
          <w:p w:rsidR="002574CE" w:rsidRPr="006321DC" w:rsidRDefault="001D02D5">
            <w:pPr>
              <w:jc w:val="right"/>
              <w:rPr>
                <w:bCs/>
                <w:color w:val="000000"/>
                <w:sz w:val="24"/>
                <w:shd w:val="clear" w:color="auto" w:fill="FFFFFF"/>
              </w:rPr>
            </w:pPr>
            <w:r w:rsidRPr="006321DC">
              <w:rPr>
                <w:bCs/>
                <w:color w:val="000000"/>
                <w:sz w:val="24"/>
                <w:shd w:val="clear" w:color="auto" w:fill="FFFFFF"/>
              </w:rPr>
              <w:t>16,351.02</w:t>
            </w:r>
          </w:p>
        </w:tc>
        <w:tc>
          <w:tcPr>
            <w:tcW w:w="1271" w:type="pct"/>
          </w:tcPr>
          <w:p w:rsidR="002574CE" w:rsidRPr="006321DC" w:rsidRDefault="00DC5EBD">
            <w:pPr>
              <w:jc w:val="right"/>
              <w:rPr>
                <w:bCs/>
                <w:color w:val="000000"/>
                <w:sz w:val="24"/>
                <w:shd w:val="clear" w:color="auto" w:fill="FFFFFF"/>
              </w:rPr>
            </w:pPr>
            <w:r w:rsidRPr="006321DC">
              <w:rPr>
                <w:bCs/>
                <w:color w:val="000000"/>
                <w:sz w:val="24"/>
                <w:shd w:val="clear" w:color="auto" w:fill="FFFFFF"/>
              </w:rPr>
              <w:t>61,388.22</w:t>
            </w:r>
          </w:p>
        </w:tc>
      </w:tr>
      <w:tr w:rsidR="002574CE">
        <w:trPr>
          <w:trHeight w:val="340"/>
          <w:jc w:val="center"/>
        </w:trPr>
        <w:tc>
          <w:tcPr>
            <w:tcW w:w="1189" w:type="pct"/>
            <w:vMerge/>
            <w:vAlign w:val="center"/>
          </w:tcPr>
          <w:p w:rsidR="002574CE" w:rsidRDefault="002574CE">
            <w:pPr>
              <w:jc w:val="center"/>
              <w:rPr>
                <w:bCs/>
                <w:color w:val="000000"/>
                <w:sz w:val="24"/>
                <w:shd w:val="clear" w:color="auto" w:fill="FFFFFF"/>
              </w:rPr>
            </w:pPr>
          </w:p>
        </w:tc>
        <w:tc>
          <w:tcPr>
            <w:tcW w:w="1270"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负债总额</w:t>
            </w:r>
          </w:p>
        </w:tc>
        <w:tc>
          <w:tcPr>
            <w:tcW w:w="1270" w:type="pct"/>
          </w:tcPr>
          <w:p w:rsidR="002574CE" w:rsidRPr="006321DC" w:rsidRDefault="001D02D5">
            <w:pPr>
              <w:jc w:val="right"/>
              <w:rPr>
                <w:bCs/>
                <w:color w:val="000000"/>
                <w:sz w:val="24"/>
                <w:shd w:val="clear" w:color="auto" w:fill="FFFFFF"/>
              </w:rPr>
            </w:pPr>
            <w:r w:rsidRPr="006321DC">
              <w:rPr>
                <w:bCs/>
                <w:color w:val="000000"/>
                <w:sz w:val="24"/>
                <w:shd w:val="clear" w:color="auto" w:fill="FFFFFF"/>
              </w:rPr>
              <w:t>16,473.46</w:t>
            </w:r>
          </w:p>
        </w:tc>
        <w:tc>
          <w:tcPr>
            <w:tcW w:w="1271" w:type="pct"/>
          </w:tcPr>
          <w:p w:rsidR="002574CE" w:rsidRPr="006321DC" w:rsidRDefault="00DC5EBD">
            <w:pPr>
              <w:jc w:val="right"/>
              <w:rPr>
                <w:bCs/>
                <w:color w:val="000000"/>
                <w:sz w:val="24"/>
                <w:shd w:val="clear" w:color="auto" w:fill="FFFFFF"/>
              </w:rPr>
            </w:pPr>
            <w:r w:rsidRPr="006321DC">
              <w:rPr>
                <w:bCs/>
                <w:color w:val="000000"/>
                <w:sz w:val="24"/>
                <w:shd w:val="clear" w:color="auto" w:fill="FFFFFF"/>
              </w:rPr>
              <w:t>61,023.55</w:t>
            </w:r>
          </w:p>
        </w:tc>
      </w:tr>
      <w:tr w:rsidR="002574CE">
        <w:trPr>
          <w:trHeight w:val="340"/>
          <w:jc w:val="center"/>
        </w:trPr>
        <w:tc>
          <w:tcPr>
            <w:tcW w:w="1189" w:type="pct"/>
            <w:vMerge/>
            <w:vAlign w:val="center"/>
          </w:tcPr>
          <w:p w:rsidR="002574CE" w:rsidRDefault="002574CE">
            <w:pPr>
              <w:jc w:val="center"/>
              <w:rPr>
                <w:bCs/>
                <w:color w:val="000000"/>
                <w:sz w:val="24"/>
                <w:shd w:val="clear" w:color="auto" w:fill="FFFFFF"/>
              </w:rPr>
            </w:pPr>
          </w:p>
        </w:tc>
        <w:tc>
          <w:tcPr>
            <w:tcW w:w="1270"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资产净额</w:t>
            </w:r>
          </w:p>
        </w:tc>
        <w:tc>
          <w:tcPr>
            <w:tcW w:w="1270" w:type="pct"/>
          </w:tcPr>
          <w:p w:rsidR="002574CE" w:rsidRPr="006321DC" w:rsidRDefault="001D02D5">
            <w:pPr>
              <w:jc w:val="right"/>
              <w:rPr>
                <w:bCs/>
                <w:color w:val="000000"/>
                <w:sz w:val="24"/>
                <w:shd w:val="clear" w:color="auto" w:fill="FFFFFF"/>
              </w:rPr>
            </w:pPr>
            <w:r w:rsidRPr="006321DC">
              <w:rPr>
                <w:bCs/>
                <w:color w:val="000000"/>
                <w:sz w:val="24"/>
                <w:shd w:val="clear" w:color="auto" w:fill="FFFFFF"/>
              </w:rPr>
              <w:t>-122.43</w:t>
            </w:r>
          </w:p>
        </w:tc>
        <w:tc>
          <w:tcPr>
            <w:tcW w:w="1271" w:type="pct"/>
          </w:tcPr>
          <w:p w:rsidR="002574CE" w:rsidRPr="006321DC" w:rsidRDefault="00DC5EBD" w:rsidP="00445D41">
            <w:pPr>
              <w:jc w:val="right"/>
              <w:rPr>
                <w:bCs/>
                <w:color w:val="000000"/>
                <w:sz w:val="24"/>
                <w:shd w:val="clear" w:color="auto" w:fill="FFFFFF"/>
              </w:rPr>
            </w:pPr>
            <w:r w:rsidRPr="006321DC">
              <w:rPr>
                <w:bCs/>
                <w:color w:val="000000"/>
                <w:sz w:val="24"/>
                <w:shd w:val="clear" w:color="auto" w:fill="FFFFFF"/>
              </w:rPr>
              <w:t>364.67</w:t>
            </w:r>
          </w:p>
        </w:tc>
      </w:tr>
      <w:tr w:rsidR="002574CE">
        <w:trPr>
          <w:trHeight w:val="340"/>
          <w:jc w:val="center"/>
        </w:trPr>
        <w:tc>
          <w:tcPr>
            <w:tcW w:w="1189" w:type="pct"/>
            <w:vMerge/>
            <w:vAlign w:val="center"/>
          </w:tcPr>
          <w:p w:rsidR="002574CE" w:rsidRDefault="002574CE">
            <w:pPr>
              <w:jc w:val="center"/>
              <w:rPr>
                <w:bCs/>
                <w:color w:val="000000"/>
                <w:sz w:val="24"/>
                <w:shd w:val="clear" w:color="auto" w:fill="FFFFFF"/>
              </w:rPr>
            </w:pPr>
          </w:p>
        </w:tc>
        <w:tc>
          <w:tcPr>
            <w:tcW w:w="1270"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营业收入</w:t>
            </w:r>
          </w:p>
        </w:tc>
        <w:tc>
          <w:tcPr>
            <w:tcW w:w="1270" w:type="pct"/>
          </w:tcPr>
          <w:p w:rsidR="002574CE" w:rsidRPr="006321DC" w:rsidRDefault="001D02D5">
            <w:pPr>
              <w:jc w:val="right"/>
              <w:rPr>
                <w:bCs/>
                <w:color w:val="000000"/>
                <w:sz w:val="24"/>
                <w:shd w:val="clear" w:color="auto" w:fill="FFFFFF"/>
              </w:rPr>
            </w:pPr>
            <w:r w:rsidRPr="006321DC">
              <w:rPr>
                <w:bCs/>
                <w:color w:val="000000"/>
                <w:sz w:val="24"/>
                <w:shd w:val="clear" w:color="auto" w:fill="FFFFFF"/>
              </w:rPr>
              <w:t>10,146.40</w:t>
            </w:r>
          </w:p>
        </w:tc>
        <w:tc>
          <w:tcPr>
            <w:tcW w:w="1271" w:type="pct"/>
          </w:tcPr>
          <w:p w:rsidR="002574CE" w:rsidRPr="006321DC" w:rsidRDefault="00DC5EBD">
            <w:pPr>
              <w:jc w:val="right"/>
              <w:rPr>
                <w:bCs/>
                <w:color w:val="000000"/>
                <w:sz w:val="24"/>
                <w:shd w:val="clear" w:color="auto" w:fill="FFFFFF"/>
              </w:rPr>
            </w:pPr>
            <w:r w:rsidRPr="006321DC">
              <w:rPr>
                <w:bCs/>
                <w:color w:val="000000"/>
                <w:sz w:val="24"/>
                <w:shd w:val="clear" w:color="auto" w:fill="FFFFFF"/>
              </w:rPr>
              <w:t>59,773.35</w:t>
            </w:r>
          </w:p>
        </w:tc>
      </w:tr>
      <w:tr w:rsidR="002574CE">
        <w:trPr>
          <w:trHeight w:val="340"/>
          <w:jc w:val="center"/>
        </w:trPr>
        <w:tc>
          <w:tcPr>
            <w:tcW w:w="1189" w:type="pct"/>
            <w:vMerge/>
            <w:vAlign w:val="center"/>
          </w:tcPr>
          <w:p w:rsidR="002574CE" w:rsidRDefault="002574CE">
            <w:pPr>
              <w:jc w:val="center"/>
              <w:rPr>
                <w:bCs/>
                <w:color w:val="000000"/>
                <w:sz w:val="24"/>
                <w:shd w:val="clear" w:color="auto" w:fill="FFFFFF"/>
              </w:rPr>
            </w:pPr>
          </w:p>
        </w:tc>
        <w:tc>
          <w:tcPr>
            <w:tcW w:w="1270" w:type="pct"/>
            <w:vAlign w:val="center"/>
          </w:tcPr>
          <w:p w:rsidR="002574CE" w:rsidRDefault="001E7A72">
            <w:pPr>
              <w:jc w:val="center"/>
              <w:rPr>
                <w:bCs/>
                <w:color w:val="000000"/>
                <w:sz w:val="24"/>
                <w:shd w:val="clear" w:color="auto" w:fill="FFFFFF"/>
              </w:rPr>
            </w:pPr>
            <w:r>
              <w:rPr>
                <w:rFonts w:hint="eastAsia"/>
                <w:bCs/>
                <w:color w:val="000000"/>
                <w:sz w:val="24"/>
                <w:shd w:val="clear" w:color="auto" w:fill="FFFFFF"/>
              </w:rPr>
              <w:t>净利润</w:t>
            </w:r>
          </w:p>
        </w:tc>
        <w:tc>
          <w:tcPr>
            <w:tcW w:w="1270" w:type="pct"/>
          </w:tcPr>
          <w:p w:rsidR="002574CE" w:rsidRPr="006321DC" w:rsidRDefault="001E7A72" w:rsidP="001D02D5">
            <w:pPr>
              <w:jc w:val="right"/>
              <w:rPr>
                <w:bCs/>
                <w:color w:val="000000"/>
                <w:sz w:val="24"/>
                <w:shd w:val="clear" w:color="auto" w:fill="FFFFFF"/>
              </w:rPr>
            </w:pPr>
            <w:r w:rsidRPr="006321DC">
              <w:rPr>
                <w:rFonts w:hint="eastAsia"/>
                <w:bCs/>
                <w:color w:val="000000"/>
                <w:sz w:val="24"/>
                <w:shd w:val="clear" w:color="auto" w:fill="FFFFFF"/>
              </w:rPr>
              <w:t>-</w:t>
            </w:r>
            <w:r w:rsidR="001D02D5" w:rsidRPr="006321DC">
              <w:rPr>
                <w:bCs/>
                <w:color w:val="000000"/>
                <w:sz w:val="24"/>
                <w:shd w:val="clear" w:color="auto" w:fill="FFFFFF"/>
              </w:rPr>
              <w:t>210.01</w:t>
            </w:r>
          </w:p>
        </w:tc>
        <w:tc>
          <w:tcPr>
            <w:tcW w:w="1271" w:type="pct"/>
          </w:tcPr>
          <w:p w:rsidR="002574CE" w:rsidRPr="006321DC" w:rsidRDefault="00DC5EBD" w:rsidP="00445D41">
            <w:pPr>
              <w:jc w:val="right"/>
              <w:rPr>
                <w:bCs/>
                <w:color w:val="000000"/>
                <w:sz w:val="24"/>
                <w:shd w:val="clear" w:color="auto" w:fill="FFFFFF"/>
              </w:rPr>
            </w:pPr>
            <w:r w:rsidRPr="006321DC">
              <w:rPr>
                <w:bCs/>
                <w:color w:val="000000"/>
                <w:sz w:val="24"/>
                <w:shd w:val="clear" w:color="auto" w:fill="FFFFFF"/>
              </w:rPr>
              <w:t>487.10</w:t>
            </w:r>
          </w:p>
        </w:tc>
      </w:tr>
      <w:tr w:rsidR="002574CE">
        <w:trPr>
          <w:trHeight w:val="340"/>
          <w:jc w:val="center"/>
        </w:trPr>
        <w:tc>
          <w:tcPr>
            <w:tcW w:w="1189" w:type="pct"/>
            <w:vMerge/>
            <w:vAlign w:val="center"/>
          </w:tcPr>
          <w:p w:rsidR="002574CE" w:rsidRDefault="002574CE">
            <w:pPr>
              <w:jc w:val="center"/>
              <w:rPr>
                <w:bCs/>
                <w:color w:val="000000"/>
                <w:sz w:val="24"/>
                <w:shd w:val="clear" w:color="auto" w:fill="FFFFFF"/>
              </w:rPr>
            </w:pPr>
          </w:p>
        </w:tc>
        <w:tc>
          <w:tcPr>
            <w:tcW w:w="1270" w:type="pct"/>
            <w:vAlign w:val="center"/>
          </w:tcPr>
          <w:p w:rsidR="002574CE" w:rsidRDefault="001E7A72">
            <w:pPr>
              <w:jc w:val="center"/>
              <w:rPr>
                <w:bCs/>
                <w:color w:val="000000"/>
                <w:sz w:val="24"/>
                <w:shd w:val="clear" w:color="auto" w:fill="FFFFFF"/>
              </w:rPr>
            </w:pPr>
            <w:proofErr w:type="gramStart"/>
            <w:r>
              <w:rPr>
                <w:rFonts w:hint="eastAsia"/>
                <w:bCs/>
                <w:color w:val="000000"/>
                <w:sz w:val="24"/>
                <w:shd w:val="clear" w:color="auto" w:fill="FFFFFF"/>
              </w:rPr>
              <w:t>扣非后</w:t>
            </w:r>
            <w:proofErr w:type="gramEnd"/>
            <w:r>
              <w:rPr>
                <w:rFonts w:hint="eastAsia"/>
                <w:bCs/>
                <w:color w:val="000000"/>
                <w:sz w:val="24"/>
                <w:shd w:val="clear" w:color="auto" w:fill="FFFFFF"/>
              </w:rPr>
              <w:t>净利润</w:t>
            </w:r>
          </w:p>
        </w:tc>
        <w:tc>
          <w:tcPr>
            <w:tcW w:w="1270" w:type="pct"/>
          </w:tcPr>
          <w:p w:rsidR="002574CE" w:rsidRPr="006321DC" w:rsidRDefault="001E7A72" w:rsidP="00AD656F">
            <w:pPr>
              <w:jc w:val="right"/>
              <w:rPr>
                <w:bCs/>
                <w:color w:val="000000"/>
                <w:sz w:val="24"/>
                <w:shd w:val="clear" w:color="auto" w:fill="FFFFFF"/>
              </w:rPr>
            </w:pPr>
            <w:r w:rsidRPr="006321DC">
              <w:rPr>
                <w:rFonts w:hint="eastAsia"/>
                <w:bCs/>
                <w:color w:val="000000"/>
                <w:sz w:val="24"/>
                <w:shd w:val="clear" w:color="auto" w:fill="FFFFFF"/>
              </w:rPr>
              <w:t>-</w:t>
            </w:r>
            <w:r w:rsidR="00AD656F" w:rsidRPr="006321DC">
              <w:rPr>
                <w:bCs/>
                <w:color w:val="000000"/>
                <w:sz w:val="24"/>
                <w:shd w:val="clear" w:color="auto" w:fill="FFFFFF"/>
              </w:rPr>
              <w:t>253.10</w:t>
            </w:r>
          </w:p>
        </w:tc>
        <w:tc>
          <w:tcPr>
            <w:tcW w:w="1271" w:type="pct"/>
          </w:tcPr>
          <w:p w:rsidR="002574CE" w:rsidRPr="006321DC" w:rsidRDefault="00DC5EBD" w:rsidP="00445D41">
            <w:pPr>
              <w:jc w:val="right"/>
              <w:rPr>
                <w:bCs/>
                <w:color w:val="000000"/>
                <w:sz w:val="24"/>
                <w:shd w:val="clear" w:color="auto" w:fill="FFFFFF"/>
              </w:rPr>
            </w:pPr>
            <w:r w:rsidRPr="006321DC">
              <w:rPr>
                <w:bCs/>
                <w:color w:val="000000"/>
                <w:sz w:val="24"/>
                <w:shd w:val="clear" w:color="auto" w:fill="FFFFFF"/>
              </w:rPr>
              <w:t>455.32</w:t>
            </w:r>
          </w:p>
        </w:tc>
      </w:tr>
    </w:tbl>
    <w:p w:rsidR="002574CE" w:rsidRDefault="001E7A72">
      <w:pPr>
        <w:widowControl/>
        <w:adjustRightInd w:val="0"/>
        <w:snapToGrid w:val="0"/>
        <w:spacing w:line="600" w:lineRule="exact"/>
        <w:ind w:firstLineChars="200" w:firstLine="560"/>
        <w:rPr>
          <w:rFonts w:ascii="宋体" w:hAnsi="宋体"/>
          <w:sz w:val="28"/>
          <w:szCs w:val="28"/>
        </w:rPr>
      </w:pPr>
      <w:r>
        <w:rPr>
          <w:rFonts w:ascii="宋体" w:hAnsi="宋体" w:hint="eastAsia"/>
          <w:sz w:val="28"/>
          <w:szCs w:val="28"/>
        </w:rPr>
        <w:t>（二）被担保人与上市公司的关联关系</w:t>
      </w:r>
    </w:p>
    <w:p w:rsidR="002574CE" w:rsidRDefault="001E7A72">
      <w:pPr>
        <w:widowControl/>
        <w:adjustRightInd w:val="0"/>
        <w:snapToGrid w:val="0"/>
        <w:spacing w:line="600" w:lineRule="exact"/>
        <w:ind w:firstLineChars="200" w:firstLine="560"/>
        <w:rPr>
          <w:rFonts w:ascii="宋体" w:hAnsi="宋体"/>
          <w:b/>
          <w:sz w:val="28"/>
          <w:szCs w:val="28"/>
        </w:rPr>
      </w:pPr>
      <w:r>
        <w:rPr>
          <w:rFonts w:ascii="宋体" w:hAnsi="宋体" w:hint="eastAsia"/>
          <w:sz w:val="28"/>
          <w:szCs w:val="28"/>
        </w:rPr>
        <w:t>被担保人均为公司的全资子公司，公司持股比例为</w:t>
      </w:r>
      <w:r w:rsidRPr="0091690C">
        <w:rPr>
          <w:sz w:val="28"/>
          <w:szCs w:val="28"/>
        </w:rPr>
        <w:t>100</w:t>
      </w:r>
      <w:r>
        <w:rPr>
          <w:rFonts w:ascii="宋体" w:hAnsi="宋体"/>
          <w:sz w:val="28"/>
          <w:szCs w:val="28"/>
        </w:rPr>
        <w:t>%</w:t>
      </w:r>
      <w:r>
        <w:rPr>
          <w:rFonts w:ascii="宋体" w:hAnsi="宋体" w:hint="eastAsia"/>
          <w:sz w:val="28"/>
          <w:szCs w:val="28"/>
        </w:rPr>
        <w:t>。</w:t>
      </w:r>
    </w:p>
    <w:p w:rsidR="002574CE" w:rsidRDefault="001E7A72">
      <w:pPr>
        <w:widowControl/>
        <w:adjustRightInd w:val="0"/>
        <w:snapToGrid w:val="0"/>
        <w:spacing w:line="600" w:lineRule="exact"/>
        <w:ind w:firstLineChars="200" w:firstLine="562"/>
        <w:rPr>
          <w:rFonts w:ascii="宋体" w:hAnsi="宋体"/>
          <w:b/>
          <w:sz w:val="28"/>
          <w:szCs w:val="28"/>
        </w:rPr>
      </w:pPr>
      <w:r>
        <w:rPr>
          <w:rFonts w:ascii="宋体" w:hAnsi="宋体" w:hint="eastAsia"/>
          <w:b/>
          <w:sz w:val="28"/>
          <w:szCs w:val="28"/>
        </w:rPr>
        <w:t>三、担保协议的主要内容</w:t>
      </w:r>
    </w:p>
    <w:p w:rsidR="002574CE" w:rsidRDefault="001E7A72">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公司目前尚未签订相关担保协议（过往协议仍在有效期的除外），上述计划担保额度仅为公司拟为全资子公司</w:t>
      </w:r>
      <w:r w:rsidRPr="0091690C">
        <w:rPr>
          <w:bCs/>
          <w:sz w:val="28"/>
          <w:szCs w:val="28"/>
        </w:rPr>
        <w:t>202</w:t>
      </w:r>
      <w:r w:rsidR="00866482">
        <w:rPr>
          <w:bCs/>
          <w:sz w:val="28"/>
          <w:szCs w:val="28"/>
        </w:rPr>
        <w:t>5</w:t>
      </w:r>
      <w:r>
        <w:rPr>
          <w:rFonts w:ascii="宋体" w:hAnsi="宋体" w:hint="eastAsia"/>
          <w:bCs/>
          <w:sz w:val="28"/>
          <w:szCs w:val="28"/>
        </w:rPr>
        <w:t>年预计向银行等金融机构申请的综合授信提供的担保额度，尚需提交股东大会审议通过后生效。具体担保金额、担保期限以及签约时间以实际签署的合同为</w:t>
      </w:r>
      <w:r>
        <w:rPr>
          <w:rFonts w:ascii="宋体" w:hAnsi="宋体" w:hint="eastAsia"/>
          <w:bCs/>
          <w:sz w:val="28"/>
          <w:szCs w:val="28"/>
        </w:rPr>
        <w:lastRenderedPageBreak/>
        <w:t>准。公司管理层将根据实际经营情况的需要，在担保额度内办理具体事宜，同时由公司法定代表人（或其书面授权代表）签署上述担保额度内的担保合同等各项法律文件。超出授权范围外的其他事项，公司将另行履行决策程序。</w:t>
      </w:r>
    </w:p>
    <w:p w:rsidR="002574CE" w:rsidRDefault="001E7A72">
      <w:pPr>
        <w:widowControl/>
        <w:adjustRightInd w:val="0"/>
        <w:snapToGrid w:val="0"/>
        <w:spacing w:line="600" w:lineRule="exact"/>
        <w:ind w:firstLineChars="200" w:firstLine="562"/>
        <w:rPr>
          <w:rFonts w:ascii="宋体" w:hAnsi="宋体"/>
          <w:b/>
          <w:sz w:val="28"/>
          <w:szCs w:val="28"/>
        </w:rPr>
      </w:pPr>
      <w:r>
        <w:rPr>
          <w:rFonts w:ascii="宋体" w:hAnsi="宋体" w:hint="eastAsia"/>
          <w:b/>
          <w:sz w:val="28"/>
          <w:szCs w:val="28"/>
        </w:rPr>
        <w:t>四、担保的原因及必要性</w:t>
      </w:r>
    </w:p>
    <w:p w:rsidR="002574CE" w:rsidRDefault="001E7A72">
      <w:pPr>
        <w:widowControl/>
        <w:adjustRightInd w:val="0"/>
        <w:snapToGrid w:val="0"/>
        <w:spacing w:line="600" w:lineRule="exact"/>
        <w:ind w:firstLineChars="200" w:firstLine="560"/>
        <w:rPr>
          <w:rFonts w:ascii="宋体" w:hAnsi="宋体"/>
          <w:sz w:val="28"/>
          <w:szCs w:val="28"/>
        </w:rPr>
      </w:pPr>
      <w:bookmarkStart w:id="1" w:name="_Hlk32503933"/>
      <w:r>
        <w:rPr>
          <w:rFonts w:ascii="宋体" w:hAnsi="宋体" w:hint="eastAsia"/>
          <w:sz w:val="28"/>
          <w:szCs w:val="28"/>
        </w:rPr>
        <w:t>被担保对象有方通信技术（香港）有限公司系公司海外进出口的平台，东莞有方物联网科技有限公司系公司在东莞松山湖的研发中心和交付中心，上述公司均为公司合并报表范围内的全资子公司</w:t>
      </w:r>
      <w:bookmarkEnd w:id="1"/>
      <w:r>
        <w:rPr>
          <w:rFonts w:ascii="宋体" w:hAnsi="宋体" w:hint="eastAsia"/>
          <w:sz w:val="28"/>
          <w:szCs w:val="28"/>
        </w:rPr>
        <w:t>，担保风险总体可控。全资子公司的生产经营需要银行和公司的支持，上述担保事项是公司为全资子公司拟向银行等金融机构申请的综合授信额度提供的预计担保，符合公司整体生产经营的实际需要，有利于缓解子公司流动资金需求，有助于子公司的持续发展。</w:t>
      </w:r>
    </w:p>
    <w:p w:rsidR="002574CE" w:rsidRDefault="001E7A72">
      <w:pPr>
        <w:widowControl/>
        <w:adjustRightInd w:val="0"/>
        <w:snapToGrid w:val="0"/>
        <w:spacing w:line="600" w:lineRule="exact"/>
        <w:ind w:firstLineChars="200" w:firstLine="562"/>
        <w:rPr>
          <w:rFonts w:ascii="宋体" w:hAnsi="宋体"/>
          <w:b/>
          <w:sz w:val="28"/>
          <w:szCs w:val="28"/>
        </w:rPr>
      </w:pPr>
      <w:r>
        <w:rPr>
          <w:rFonts w:ascii="宋体" w:hAnsi="宋体" w:hint="eastAsia"/>
          <w:b/>
          <w:sz w:val="28"/>
          <w:szCs w:val="28"/>
        </w:rPr>
        <w:t>五、董事会意见</w:t>
      </w:r>
    </w:p>
    <w:p w:rsidR="002574CE" w:rsidRDefault="001E7A72">
      <w:pPr>
        <w:widowControl/>
        <w:spacing w:line="600" w:lineRule="exact"/>
        <w:ind w:firstLineChars="200" w:firstLine="560"/>
        <w:rPr>
          <w:rFonts w:ascii="宋体" w:hAnsi="宋体"/>
          <w:bCs/>
          <w:sz w:val="28"/>
          <w:szCs w:val="28"/>
        </w:rPr>
      </w:pPr>
      <w:r w:rsidRPr="0091690C">
        <w:rPr>
          <w:bCs/>
          <w:sz w:val="28"/>
          <w:szCs w:val="28"/>
        </w:rPr>
        <w:t>202</w:t>
      </w:r>
      <w:r w:rsidR="00E6145F">
        <w:rPr>
          <w:bCs/>
          <w:sz w:val="28"/>
          <w:szCs w:val="28"/>
        </w:rPr>
        <w:t>5</w:t>
      </w:r>
      <w:r>
        <w:rPr>
          <w:rFonts w:ascii="宋体" w:hAnsi="宋体" w:hint="eastAsia"/>
          <w:bCs/>
          <w:sz w:val="28"/>
          <w:szCs w:val="28"/>
        </w:rPr>
        <w:t>年</w:t>
      </w:r>
      <w:r w:rsidR="00E6145F">
        <w:rPr>
          <w:bCs/>
          <w:sz w:val="28"/>
          <w:szCs w:val="28"/>
        </w:rPr>
        <w:t>4</w:t>
      </w:r>
      <w:r>
        <w:rPr>
          <w:rFonts w:ascii="宋体" w:hAnsi="宋体" w:hint="eastAsia"/>
          <w:bCs/>
          <w:sz w:val="28"/>
          <w:szCs w:val="28"/>
        </w:rPr>
        <w:t>月</w:t>
      </w:r>
      <w:r w:rsidR="00E6145F">
        <w:rPr>
          <w:bCs/>
          <w:sz w:val="28"/>
          <w:szCs w:val="28"/>
        </w:rPr>
        <w:t>29</w:t>
      </w:r>
      <w:r>
        <w:rPr>
          <w:rFonts w:ascii="宋体" w:hAnsi="宋体" w:hint="eastAsia"/>
          <w:bCs/>
          <w:sz w:val="28"/>
          <w:szCs w:val="28"/>
        </w:rPr>
        <w:t>日，公司召开第</w:t>
      </w:r>
      <w:r w:rsidR="00866482">
        <w:rPr>
          <w:rFonts w:ascii="宋体" w:hAnsi="宋体" w:hint="eastAsia"/>
          <w:bCs/>
          <w:sz w:val="28"/>
          <w:szCs w:val="28"/>
        </w:rPr>
        <w:t>四</w:t>
      </w:r>
      <w:r>
        <w:rPr>
          <w:rFonts w:ascii="宋体" w:hAnsi="宋体" w:hint="eastAsia"/>
          <w:bCs/>
          <w:sz w:val="28"/>
          <w:szCs w:val="28"/>
        </w:rPr>
        <w:t>届董事会第</w:t>
      </w:r>
      <w:r w:rsidR="00E6145F">
        <w:rPr>
          <w:rFonts w:ascii="宋体" w:hAnsi="宋体" w:hint="eastAsia"/>
          <w:bCs/>
          <w:sz w:val="28"/>
          <w:szCs w:val="28"/>
        </w:rPr>
        <w:t>五</w:t>
      </w:r>
      <w:r>
        <w:rPr>
          <w:rFonts w:ascii="宋体" w:hAnsi="宋体" w:hint="eastAsia"/>
          <w:bCs/>
          <w:sz w:val="28"/>
          <w:szCs w:val="28"/>
        </w:rPr>
        <w:t>次会议，审议通过了</w:t>
      </w:r>
      <w:r w:rsidR="00E6145F" w:rsidRPr="00E6145F">
        <w:rPr>
          <w:rFonts w:ascii="宋体" w:hAnsi="宋体" w:hint="eastAsia"/>
          <w:bCs/>
          <w:sz w:val="28"/>
          <w:szCs w:val="28"/>
        </w:rPr>
        <w:t>《关于审议调整公司2025年度向银行等金融机构申请综合授信的议案》《关于审议调整公司之全资子公司2025年度向银行等金融机构申请综合授信的议案》《关于审议调整公司为全资子公司2025年度向银行等金融机构申请综合授信提供担保的议案》</w:t>
      </w:r>
      <w:r>
        <w:rPr>
          <w:rFonts w:ascii="宋体" w:hAnsi="宋体" w:hint="eastAsia"/>
          <w:bCs/>
          <w:sz w:val="28"/>
          <w:szCs w:val="28"/>
        </w:rPr>
        <w:t>等相关议案。上述议案尚需经过</w:t>
      </w:r>
      <w:r w:rsidRPr="0091690C">
        <w:rPr>
          <w:bCs/>
          <w:sz w:val="28"/>
          <w:szCs w:val="28"/>
        </w:rPr>
        <w:t>202</w:t>
      </w:r>
      <w:r w:rsidR="00E6145F">
        <w:rPr>
          <w:bCs/>
          <w:sz w:val="28"/>
          <w:szCs w:val="28"/>
        </w:rPr>
        <w:t>4</w:t>
      </w:r>
      <w:r>
        <w:rPr>
          <w:rFonts w:ascii="宋体" w:hAnsi="宋体" w:hint="eastAsia"/>
          <w:bCs/>
          <w:sz w:val="28"/>
          <w:szCs w:val="28"/>
        </w:rPr>
        <w:t>年</w:t>
      </w:r>
      <w:r w:rsidR="00E6145F">
        <w:rPr>
          <w:rFonts w:ascii="宋体" w:hAnsi="宋体" w:hint="eastAsia"/>
          <w:bCs/>
          <w:sz w:val="28"/>
          <w:szCs w:val="28"/>
        </w:rPr>
        <w:t>度</w:t>
      </w:r>
      <w:r>
        <w:rPr>
          <w:rFonts w:ascii="宋体" w:hAnsi="宋体" w:hint="eastAsia"/>
          <w:bCs/>
          <w:sz w:val="28"/>
          <w:szCs w:val="28"/>
        </w:rPr>
        <w:t>股东大会审议通过。</w:t>
      </w:r>
      <w:bookmarkStart w:id="2" w:name="_Hlk32503884"/>
    </w:p>
    <w:bookmarkEnd w:id="2"/>
    <w:p w:rsidR="002574CE" w:rsidRDefault="001E7A72">
      <w:pPr>
        <w:adjustRightInd w:val="0"/>
        <w:snapToGrid w:val="0"/>
        <w:spacing w:line="600" w:lineRule="exact"/>
        <w:ind w:firstLineChars="200" w:firstLine="562"/>
        <w:rPr>
          <w:rFonts w:ascii="宋体" w:hAnsi="宋体"/>
          <w:b/>
          <w:sz w:val="28"/>
          <w:szCs w:val="28"/>
        </w:rPr>
      </w:pPr>
      <w:r>
        <w:rPr>
          <w:rFonts w:ascii="宋体" w:hAnsi="宋体" w:hint="eastAsia"/>
          <w:b/>
          <w:sz w:val="28"/>
          <w:szCs w:val="28"/>
        </w:rPr>
        <w:t>六、累计对外担保金额及逾期担保的金额</w:t>
      </w:r>
    </w:p>
    <w:p w:rsidR="002574CE" w:rsidRDefault="0044709F">
      <w:pPr>
        <w:widowControl/>
        <w:adjustRightInd w:val="0"/>
        <w:snapToGrid w:val="0"/>
        <w:spacing w:line="600" w:lineRule="exact"/>
        <w:ind w:firstLineChars="200" w:firstLine="560"/>
        <w:rPr>
          <w:rFonts w:ascii="宋体" w:hAnsi="宋体"/>
          <w:sz w:val="28"/>
          <w:szCs w:val="28"/>
        </w:rPr>
      </w:pPr>
      <w:r w:rsidRPr="0044709F">
        <w:rPr>
          <w:rFonts w:ascii="宋体" w:hAnsi="宋体" w:hint="eastAsia"/>
          <w:sz w:val="28"/>
          <w:szCs w:val="28"/>
        </w:rPr>
        <w:t>截至公告披露日，公司及其子公司的对外担保总额为</w:t>
      </w:r>
      <w:r w:rsidR="00E6145F">
        <w:rPr>
          <w:rFonts w:ascii="宋体" w:hAnsi="宋体"/>
          <w:sz w:val="28"/>
          <w:szCs w:val="28"/>
        </w:rPr>
        <w:t>2</w:t>
      </w:r>
      <w:r w:rsidRPr="00295729">
        <w:rPr>
          <w:rFonts w:ascii="宋体" w:hAnsi="宋体" w:hint="eastAsia"/>
          <w:sz w:val="28"/>
          <w:szCs w:val="28"/>
        </w:rPr>
        <w:t>0,000万元（担保总额是指已获得董事会和股东大会批准但未实际发生的担保额度与实际发生的担保余额之和，其中实际发生的担保余额金额为</w:t>
      </w:r>
      <w:r w:rsidR="001D02D5" w:rsidRPr="00295729">
        <w:rPr>
          <w:rFonts w:ascii="宋体" w:hAnsi="宋体"/>
          <w:sz w:val="28"/>
          <w:szCs w:val="28"/>
        </w:rPr>
        <w:t>0</w:t>
      </w:r>
      <w:r w:rsidRPr="00295729">
        <w:rPr>
          <w:rFonts w:ascii="宋体" w:hAnsi="宋体" w:hint="eastAsia"/>
          <w:sz w:val="28"/>
          <w:szCs w:val="28"/>
        </w:rPr>
        <w:lastRenderedPageBreak/>
        <w:t>万元</w:t>
      </w:r>
      <w:r w:rsidRPr="00731903">
        <w:rPr>
          <w:rFonts w:ascii="宋体" w:hAnsi="宋体" w:hint="eastAsia"/>
          <w:sz w:val="28"/>
          <w:szCs w:val="28"/>
        </w:rPr>
        <w:t>），分别占公司最近一期经审计</w:t>
      </w:r>
      <w:r w:rsidR="006C0596">
        <w:rPr>
          <w:rFonts w:ascii="宋体" w:hAnsi="宋体" w:hint="eastAsia"/>
          <w:sz w:val="28"/>
          <w:szCs w:val="28"/>
        </w:rPr>
        <w:t>总</w:t>
      </w:r>
      <w:bookmarkStart w:id="3" w:name="_GoBack"/>
      <w:bookmarkEnd w:id="3"/>
      <w:r w:rsidRPr="00731903">
        <w:rPr>
          <w:rFonts w:ascii="宋体" w:hAnsi="宋体" w:hint="eastAsia"/>
          <w:sz w:val="28"/>
          <w:szCs w:val="28"/>
        </w:rPr>
        <w:t>资产和净资产（202</w:t>
      </w:r>
      <w:r w:rsidR="00E6145F">
        <w:rPr>
          <w:rFonts w:ascii="宋体" w:hAnsi="宋体"/>
          <w:sz w:val="28"/>
          <w:szCs w:val="28"/>
        </w:rPr>
        <w:t>4</w:t>
      </w:r>
      <w:r w:rsidRPr="00731903">
        <w:rPr>
          <w:rFonts w:ascii="宋体" w:hAnsi="宋体" w:hint="eastAsia"/>
          <w:sz w:val="28"/>
          <w:szCs w:val="28"/>
        </w:rPr>
        <w:t>年度）的</w:t>
      </w:r>
      <w:r w:rsidR="00CF7969" w:rsidRPr="006B0E17">
        <w:rPr>
          <w:rFonts w:ascii="宋体" w:hAnsi="宋体"/>
          <w:sz w:val="28"/>
          <w:szCs w:val="28"/>
        </w:rPr>
        <w:t>11.27</w:t>
      </w:r>
      <w:r w:rsidRPr="006B0E17">
        <w:rPr>
          <w:rFonts w:ascii="宋体" w:hAnsi="宋体" w:hint="eastAsia"/>
          <w:sz w:val="28"/>
          <w:szCs w:val="28"/>
        </w:rPr>
        <w:t>%及</w:t>
      </w:r>
      <w:r w:rsidR="00CF7969" w:rsidRPr="006B0E17">
        <w:rPr>
          <w:rFonts w:ascii="宋体" w:hAnsi="宋体"/>
          <w:sz w:val="28"/>
          <w:szCs w:val="28"/>
        </w:rPr>
        <w:t>23.4</w:t>
      </w:r>
      <w:r w:rsidR="001D0F2F" w:rsidRPr="006B0E17">
        <w:rPr>
          <w:rFonts w:ascii="宋体" w:hAnsi="宋体"/>
          <w:sz w:val="28"/>
          <w:szCs w:val="28"/>
        </w:rPr>
        <w:t>1</w:t>
      </w:r>
      <w:r w:rsidRPr="006B0E17">
        <w:rPr>
          <w:rFonts w:ascii="宋体" w:hAnsi="宋体" w:hint="eastAsia"/>
          <w:sz w:val="28"/>
          <w:szCs w:val="28"/>
        </w:rPr>
        <w:t>%</w:t>
      </w:r>
      <w:r w:rsidRPr="00731903">
        <w:rPr>
          <w:rFonts w:ascii="宋体" w:hAnsi="宋体" w:hint="eastAsia"/>
          <w:sz w:val="28"/>
          <w:szCs w:val="28"/>
        </w:rPr>
        <w:t>（其中实际发生的担保余额金额分别占公司最近一期经审计资产和净资产的</w:t>
      </w:r>
      <w:r w:rsidR="001D02D5" w:rsidRPr="00731903">
        <w:rPr>
          <w:rFonts w:ascii="宋体" w:hAnsi="宋体"/>
          <w:sz w:val="28"/>
          <w:szCs w:val="28"/>
        </w:rPr>
        <w:t>0</w:t>
      </w:r>
      <w:r w:rsidRPr="00731903">
        <w:rPr>
          <w:rFonts w:ascii="宋体" w:hAnsi="宋体" w:hint="eastAsia"/>
          <w:sz w:val="28"/>
          <w:szCs w:val="28"/>
        </w:rPr>
        <w:t>%及</w:t>
      </w:r>
      <w:r w:rsidR="001D02D5" w:rsidRPr="00731903">
        <w:rPr>
          <w:rFonts w:ascii="宋体" w:hAnsi="宋体"/>
          <w:sz w:val="28"/>
          <w:szCs w:val="28"/>
        </w:rPr>
        <w:t>0</w:t>
      </w:r>
      <w:r w:rsidRPr="00731903">
        <w:rPr>
          <w:rFonts w:ascii="宋体" w:hAnsi="宋体" w:hint="eastAsia"/>
          <w:sz w:val="28"/>
          <w:szCs w:val="28"/>
        </w:rPr>
        <w:t>%）</w:t>
      </w:r>
      <w:r w:rsidR="001E7A72" w:rsidRPr="00731903">
        <w:rPr>
          <w:rFonts w:ascii="宋体" w:hAnsi="宋体" w:hint="eastAsia"/>
          <w:sz w:val="28"/>
          <w:szCs w:val="28"/>
        </w:rPr>
        <w:t>。</w:t>
      </w:r>
      <w:r w:rsidR="001E7A72">
        <w:rPr>
          <w:rFonts w:ascii="宋体" w:hAnsi="宋体" w:hint="eastAsia"/>
          <w:sz w:val="28"/>
          <w:szCs w:val="28"/>
        </w:rPr>
        <w:t>除此之外，公司及子公司未对合并报表外单位提供担保，也无逾期担保事项，且不存在涉及诉讼的对外担保及因担保被判决败诉而应承担损失之情形。</w:t>
      </w:r>
    </w:p>
    <w:p w:rsidR="002574CE" w:rsidRDefault="001E7A72">
      <w:pPr>
        <w:widowControl/>
        <w:spacing w:line="60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七、对上市公司的影响</w:t>
      </w:r>
    </w:p>
    <w:p w:rsidR="002574CE" w:rsidRDefault="001E7A72">
      <w:pPr>
        <w:tabs>
          <w:tab w:val="left" w:pos="540"/>
          <w:tab w:val="left" w:pos="900"/>
        </w:tabs>
        <w:adjustRightInd w:val="0"/>
        <w:snapToGrid w:val="0"/>
        <w:spacing w:line="600" w:lineRule="exact"/>
        <w:ind w:firstLineChars="200" w:firstLine="560"/>
        <w:rPr>
          <w:rFonts w:ascii="宋体" w:hAnsi="宋体"/>
          <w:sz w:val="28"/>
          <w:szCs w:val="28"/>
        </w:rPr>
      </w:pPr>
      <w:r>
        <w:rPr>
          <w:rFonts w:ascii="宋体" w:hAnsi="宋体" w:hint="eastAsia"/>
          <w:sz w:val="28"/>
          <w:szCs w:val="28"/>
        </w:rPr>
        <w:t>公司及全资子公司预计</w:t>
      </w:r>
      <w:r w:rsidRPr="0091690C">
        <w:rPr>
          <w:sz w:val="28"/>
          <w:szCs w:val="28"/>
        </w:rPr>
        <w:t>202</w:t>
      </w:r>
      <w:r w:rsidR="00866482">
        <w:rPr>
          <w:sz w:val="28"/>
          <w:szCs w:val="28"/>
        </w:rPr>
        <w:t>5</w:t>
      </w:r>
      <w:r>
        <w:rPr>
          <w:rFonts w:ascii="宋体" w:hAnsi="宋体" w:hint="eastAsia"/>
          <w:sz w:val="28"/>
          <w:szCs w:val="28"/>
        </w:rPr>
        <w:t>年度向银行等金融机构申请的综合授信额度以及为全资子公司提供的担保，系基于公司及全资子公司经营发展的需要，实际额度需要根据银行等金融机构实际批复情况，符合公司整体利益，对公司的正常经营不构成重大影响，不存在损害公司及全体股东利益的情况。</w:t>
      </w:r>
    </w:p>
    <w:p w:rsidR="002574CE" w:rsidRDefault="001E7A72">
      <w:pPr>
        <w:tabs>
          <w:tab w:val="left" w:pos="540"/>
          <w:tab w:val="left" w:pos="900"/>
        </w:tabs>
        <w:adjustRightInd w:val="0"/>
        <w:snapToGrid w:val="0"/>
        <w:spacing w:line="600" w:lineRule="exact"/>
        <w:ind w:firstLineChars="200" w:firstLine="560"/>
        <w:rPr>
          <w:rFonts w:ascii="宋体" w:hAnsi="宋体"/>
          <w:bCs/>
          <w:sz w:val="28"/>
          <w:szCs w:val="28"/>
        </w:rPr>
      </w:pPr>
      <w:r>
        <w:rPr>
          <w:rFonts w:ascii="宋体" w:hAnsi="宋体" w:hint="eastAsia"/>
          <w:bCs/>
          <w:sz w:val="28"/>
          <w:szCs w:val="28"/>
        </w:rPr>
        <w:t>特此公告。</w:t>
      </w:r>
    </w:p>
    <w:p w:rsidR="002574CE" w:rsidRDefault="002574CE">
      <w:pPr>
        <w:tabs>
          <w:tab w:val="left" w:pos="540"/>
          <w:tab w:val="left" w:pos="900"/>
        </w:tabs>
        <w:adjustRightInd w:val="0"/>
        <w:snapToGrid w:val="0"/>
        <w:spacing w:line="600" w:lineRule="exact"/>
        <w:ind w:firstLineChars="200" w:firstLine="560"/>
        <w:rPr>
          <w:rFonts w:ascii="宋体" w:hAnsi="宋体"/>
          <w:color w:val="676767"/>
          <w:sz w:val="28"/>
          <w:szCs w:val="28"/>
        </w:rPr>
      </w:pPr>
    </w:p>
    <w:p w:rsidR="002574CE" w:rsidRDefault="001E7A72">
      <w:pPr>
        <w:adjustRightInd w:val="0"/>
        <w:snapToGrid w:val="0"/>
        <w:spacing w:line="600" w:lineRule="exact"/>
        <w:jc w:val="right"/>
        <w:rPr>
          <w:rFonts w:ascii="宋体" w:hAnsi="宋体"/>
          <w:bCs/>
          <w:sz w:val="28"/>
          <w:szCs w:val="28"/>
        </w:rPr>
      </w:pPr>
      <w:r>
        <w:rPr>
          <w:rFonts w:ascii="宋体" w:hAnsi="宋体" w:hint="eastAsia"/>
          <w:bCs/>
          <w:sz w:val="28"/>
          <w:szCs w:val="28"/>
        </w:rPr>
        <w:t>深圳市有方科技股份有限公司董事会</w:t>
      </w:r>
    </w:p>
    <w:p w:rsidR="002574CE" w:rsidRDefault="001E7A72">
      <w:pPr>
        <w:adjustRightInd w:val="0"/>
        <w:snapToGrid w:val="0"/>
        <w:spacing w:line="600" w:lineRule="exact"/>
        <w:jc w:val="right"/>
      </w:pPr>
      <w:r w:rsidRPr="0091690C">
        <w:rPr>
          <w:bCs/>
          <w:sz w:val="28"/>
          <w:szCs w:val="28"/>
        </w:rPr>
        <w:t>202</w:t>
      </w:r>
      <w:r w:rsidR="00E6145F">
        <w:rPr>
          <w:bCs/>
          <w:sz w:val="28"/>
          <w:szCs w:val="28"/>
        </w:rPr>
        <w:t>5</w:t>
      </w:r>
      <w:r>
        <w:rPr>
          <w:rFonts w:ascii="宋体" w:hAnsi="宋体" w:hint="eastAsia"/>
          <w:bCs/>
          <w:sz w:val="28"/>
          <w:szCs w:val="28"/>
        </w:rPr>
        <w:t>年</w:t>
      </w:r>
      <w:r w:rsidR="00E6145F">
        <w:rPr>
          <w:bCs/>
          <w:sz w:val="28"/>
          <w:szCs w:val="28"/>
        </w:rPr>
        <w:t>4</w:t>
      </w:r>
      <w:r>
        <w:rPr>
          <w:rFonts w:ascii="宋体" w:hAnsi="宋体" w:hint="eastAsia"/>
          <w:bCs/>
          <w:sz w:val="28"/>
          <w:szCs w:val="28"/>
        </w:rPr>
        <w:t>月</w:t>
      </w:r>
      <w:r w:rsidR="00716EF6">
        <w:rPr>
          <w:bCs/>
          <w:sz w:val="28"/>
          <w:szCs w:val="28"/>
        </w:rPr>
        <w:t>3</w:t>
      </w:r>
      <w:r w:rsidR="00E6145F">
        <w:rPr>
          <w:bCs/>
          <w:sz w:val="28"/>
          <w:szCs w:val="28"/>
        </w:rPr>
        <w:t>0</w:t>
      </w:r>
      <w:r>
        <w:rPr>
          <w:rFonts w:ascii="宋体" w:hAnsi="宋体" w:hint="eastAsia"/>
          <w:bCs/>
          <w:sz w:val="28"/>
          <w:szCs w:val="28"/>
        </w:rPr>
        <w:t>日</w:t>
      </w:r>
    </w:p>
    <w:sectPr w:rsidR="002574CE">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582" w:rsidRDefault="00920582">
      <w:r>
        <w:separator/>
      </w:r>
    </w:p>
  </w:endnote>
  <w:endnote w:type="continuationSeparator" w:id="0">
    <w:p w:rsidR="00920582" w:rsidRDefault="0092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4CE" w:rsidRDefault="001E7A72">
    <w:pPr>
      <w:pStyle w:val="a9"/>
      <w:jc w:val="center"/>
      <w:rPr>
        <w:sz w:val="21"/>
      </w:rPr>
    </w:pPr>
    <w:r>
      <w:rPr>
        <w:sz w:val="21"/>
      </w:rPr>
      <w:fldChar w:fldCharType="begin"/>
    </w:r>
    <w:r>
      <w:rPr>
        <w:sz w:val="21"/>
      </w:rPr>
      <w:instrText xml:space="preserve"> PAGE   \* MERGEFORMAT </w:instrText>
    </w:r>
    <w:r>
      <w:rPr>
        <w:sz w:val="21"/>
      </w:rPr>
      <w:fldChar w:fldCharType="separate"/>
    </w:r>
    <w:r w:rsidR="006C0596" w:rsidRPr="006C0596">
      <w:rPr>
        <w:noProof/>
        <w:sz w:val="21"/>
        <w:lang w:val="zh-CN"/>
      </w:rPr>
      <w:t>7</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582" w:rsidRDefault="00920582">
      <w:r>
        <w:separator/>
      </w:r>
    </w:p>
  </w:footnote>
  <w:footnote w:type="continuationSeparator" w:id="0">
    <w:p w:rsidR="00920582" w:rsidRDefault="00920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17825"/>
    <w:multiLevelType w:val="multilevel"/>
    <w:tmpl w:val="44B17825"/>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C173A0"/>
    <w:rsid w:val="DABFAF29"/>
    <w:rsid w:val="FBE85EF2"/>
    <w:rsid w:val="000107A3"/>
    <w:rsid w:val="00011D5C"/>
    <w:rsid w:val="0001438A"/>
    <w:rsid w:val="00014C02"/>
    <w:rsid w:val="0001583B"/>
    <w:rsid w:val="00021C38"/>
    <w:rsid w:val="00025272"/>
    <w:rsid w:val="00037392"/>
    <w:rsid w:val="00041C23"/>
    <w:rsid w:val="000560F8"/>
    <w:rsid w:val="0006074A"/>
    <w:rsid w:val="00070558"/>
    <w:rsid w:val="00074731"/>
    <w:rsid w:val="00081A92"/>
    <w:rsid w:val="00081F31"/>
    <w:rsid w:val="00087AD9"/>
    <w:rsid w:val="00092068"/>
    <w:rsid w:val="00096E28"/>
    <w:rsid w:val="000A4143"/>
    <w:rsid w:val="000A6EF1"/>
    <w:rsid w:val="000A7BF9"/>
    <w:rsid w:val="000B4D27"/>
    <w:rsid w:val="000C5F2D"/>
    <w:rsid w:val="000D10DE"/>
    <w:rsid w:val="000D4C81"/>
    <w:rsid w:val="000D4CD2"/>
    <w:rsid w:val="000E20C7"/>
    <w:rsid w:val="000F508F"/>
    <w:rsid w:val="000F5FF1"/>
    <w:rsid w:val="00100BA9"/>
    <w:rsid w:val="00101380"/>
    <w:rsid w:val="001053B1"/>
    <w:rsid w:val="0010697E"/>
    <w:rsid w:val="00107823"/>
    <w:rsid w:val="001113FE"/>
    <w:rsid w:val="00120F93"/>
    <w:rsid w:val="00123C14"/>
    <w:rsid w:val="00146E7E"/>
    <w:rsid w:val="001576FD"/>
    <w:rsid w:val="00165A2A"/>
    <w:rsid w:val="00171C2F"/>
    <w:rsid w:val="00177C74"/>
    <w:rsid w:val="00181362"/>
    <w:rsid w:val="00194D08"/>
    <w:rsid w:val="001D02D5"/>
    <w:rsid w:val="001D0335"/>
    <w:rsid w:val="001D0F2F"/>
    <w:rsid w:val="001D25E7"/>
    <w:rsid w:val="001E3FAD"/>
    <w:rsid w:val="001E7A72"/>
    <w:rsid w:val="001F5590"/>
    <w:rsid w:val="001F6680"/>
    <w:rsid w:val="00210C9A"/>
    <w:rsid w:val="00211C55"/>
    <w:rsid w:val="0021462C"/>
    <w:rsid w:val="002301F4"/>
    <w:rsid w:val="002476DF"/>
    <w:rsid w:val="00250D03"/>
    <w:rsid w:val="00253C8E"/>
    <w:rsid w:val="00254654"/>
    <w:rsid w:val="002558D6"/>
    <w:rsid w:val="002574CE"/>
    <w:rsid w:val="00263F58"/>
    <w:rsid w:val="0027267A"/>
    <w:rsid w:val="00276253"/>
    <w:rsid w:val="002771D5"/>
    <w:rsid w:val="002818DB"/>
    <w:rsid w:val="002843EA"/>
    <w:rsid w:val="00285322"/>
    <w:rsid w:val="00295729"/>
    <w:rsid w:val="002A6C49"/>
    <w:rsid w:val="002A6F1F"/>
    <w:rsid w:val="002B3A74"/>
    <w:rsid w:val="002B7944"/>
    <w:rsid w:val="002C2636"/>
    <w:rsid w:val="002C6C69"/>
    <w:rsid w:val="002C74E4"/>
    <w:rsid w:val="002D139D"/>
    <w:rsid w:val="002D6A4E"/>
    <w:rsid w:val="002E4DEA"/>
    <w:rsid w:val="002E6984"/>
    <w:rsid w:val="002E6BBD"/>
    <w:rsid w:val="002F02AD"/>
    <w:rsid w:val="002F52C9"/>
    <w:rsid w:val="003047EE"/>
    <w:rsid w:val="00306667"/>
    <w:rsid w:val="0032539D"/>
    <w:rsid w:val="00326B7E"/>
    <w:rsid w:val="00327575"/>
    <w:rsid w:val="00334429"/>
    <w:rsid w:val="00340AA3"/>
    <w:rsid w:val="00344B87"/>
    <w:rsid w:val="00346DCA"/>
    <w:rsid w:val="0035517C"/>
    <w:rsid w:val="003731DF"/>
    <w:rsid w:val="0037364E"/>
    <w:rsid w:val="00374030"/>
    <w:rsid w:val="00374D42"/>
    <w:rsid w:val="00374E81"/>
    <w:rsid w:val="00380FAA"/>
    <w:rsid w:val="00383EB4"/>
    <w:rsid w:val="00392506"/>
    <w:rsid w:val="00392693"/>
    <w:rsid w:val="00397CBA"/>
    <w:rsid w:val="003A69C5"/>
    <w:rsid w:val="003B3E49"/>
    <w:rsid w:val="003B43E1"/>
    <w:rsid w:val="003B77F1"/>
    <w:rsid w:val="003B7834"/>
    <w:rsid w:val="003B78A5"/>
    <w:rsid w:val="003C17AF"/>
    <w:rsid w:val="003C3991"/>
    <w:rsid w:val="003D3260"/>
    <w:rsid w:val="003D598F"/>
    <w:rsid w:val="003E3325"/>
    <w:rsid w:val="003E6BA8"/>
    <w:rsid w:val="003F52BB"/>
    <w:rsid w:val="00403285"/>
    <w:rsid w:val="00403793"/>
    <w:rsid w:val="00407F69"/>
    <w:rsid w:val="0041062D"/>
    <w:rsid w:val="00416362"/>
    <w:rsid w:val="00416BF5"/>
    <w:rsid w:val="004227FE"/>
    <w:rsid w:val="0043629A"/>
    <w:rsid w:val="004363E2"/>
    <w:rsid w:val="00445D41"/>
    <w:rsid w:val="0044709F"/>
    <w:rsid w:val="004612DC"/>
    <w:rsid w:val="00463AB6"/>
    <w:rsid w:val="0046513F"/>
    <w:rsid w:val="0047544C"/>
    <w:rsid w:val="00482D65"/>
    <w:rsid w:val="00485F95"/>
    <w:rsid w:val="00487BB3"/>
    <w:rsid w:val="00487E16"/>
    <w:rsid w:val="00493AE1"/>
    <w:rsid w:val="004A2BBA"/>
    <w:rsid w:val="004B1D41"/>
    <w:rsid w:val="004B30D0"/>
    <w:rsid w:val="004B698F"/>
    <w:rsid w:val="004D04BC"/>
    <w:rsid w:val="004F35ED"/>
    <w:rsid w:val="004F73F0"/>
    <w:rsid w:val="00505089"/>
    <w:rsid w:val="00523570"/>
    <w:rsid w:val="00532D25"/>
    <w:rsid w:val="005403C4"/>
    <w:rsid w:val="00542B22"/>
    <w:rsid w:val="00550679"/>
    <w:rsid w:val="00551D9E"/>
    <w:rsid w:val="00552570"/>
    <w:rsid w:val="005649A9"/>
    <w:rsid w:val="00567740"/>
    <w:rsid w:val="0057726D"/>
    <w:rsid w:val="0058166B"/>
    <w:rsid w:val="0059351F"/>
    <w:rsid w:val="005938C3"/>
    <w:rsid w:val="00596C42"/>
    <w:rsid w:val="00597F9A"/>
    <w:rsid w:val="005A7D4D"/>
    <w:rsid w:val="005B1D45"/>
    <w:rsid w:val="005B227B"/>
    <w:rsid w:val="005C6050"/>
    <w:rsid w:val="005D27F6"/>
    <w:rsid w:val="005F1DC0"/>
    <w:rsid w:val="005F3732"/>
    <w:rsid w:val="005F434E"/>
    <w:rsid w:val="005F6758"/>
    <w:rsid w:val="006026C2"/>
    <w:rsid w:val="00604ED1"/>
    <w:rsid w:val="006119AB"/>
    <w:rsid w:val="006128A8"/>
    <w:rsid w:val="00613CB4"/>
    <w:rsid w:val="006163E6"/>
    <w:rsid w:val="006264C0"/>
    <w:rsid w:val="006321DC"/>
    <w:rsid w:val="00636CBE"/>
    <w:rsid w:val="00642C77"/>
    <w:rsid w:val="00645203"/>
    <w:rsid w:val="00647B44"/>
    <w:rsid w:val="00650D48"/>
    <w:rsid w:val="00651DBB"/>
    <w:rsid w:val="00652AAC"/>
    <w:rsid w:val="0066347A"/>
    <w:rsid w:val="00665016"/>
    <w:rsid w:val="00665BA7"/>
    <w:rsid w:val="00677ED3"/>
    <w:rsid w:val="006809FB"/>
    <w:rsid w:val="00681F13"/>
    <w:rsid w:val="0069352C"/>
    <w:rsid w:val="006936CC"/>
    <w:rsid w:val="00697466"/>
    <w:rsid w:val="006A0FF5"/>
    <w:rsid w:val="006B0E17"/>
    <w:rsid w:val="006B170D"/>
    <w:rsid w:val="006B407B"/>
    <w:rsid w:val="006C033A"/>
    <w:rsid w:val="006C0596"/>
    <w:rsid w:val="006C64C7"/>
    <w:rsid w:val="006C7A8F"/>
    <w:rsid w:val="006E2A51"/>
    <w:rsid w:val="006E4D05"/>
    <w:rsid w:val="006E5C65"/>
    <w:rsid w:val="006F07A5"/>
    <w:rsid w:val="006F2A53"/>
    <w:rsid w:val="006F60EB"/>
    <w:rsid w:val="006F67B8"/>
    <w:rsid w:val="0070335D"/>
    <w:rsid w:val="00705D43"/>
    <w:rsid w:val="00710402"/>
    <w:rsid w:val="00714C1A"/>
    <w:rsid w:val="007164F5"/>
    <w:rsid w:val="00716EF6"/>
    <w:rsid w:val="00723932"/>
    <w:rsid w:val="00726091"/>
    <w:rsid w:val="00731903"/>
    <w:rsid w:val="00733A7F"/>
    <w:rsid w:val="007413F7"/>
    <w:rsid w:val="007445AE"/>
    <w:rsid w:val="00754FF8"/>
    <w:rsid w:val="00757F28"/>
    <w:rsid w:val="00765DF5"/>
    <w:rsid w:val="007842ED"/>
    <w:rsid w:val="00787D8E"/>
    <w:rsid w:val="00791B47"/>
    <w:rsid w:val="00796291"/>
    <w:rsid w:val="007A03C8"/>
    <w:rsid w:val="007A2778"/>
    <w:rsid w:val="007B5BC4"/>
    <w:rsid w:val="007B79BF"/>
    <w:rsid w:val="007D3E8E"/>
    <w:rsid w:val="007E1092"/>
    <w:rsid w:val="007E1EF6"/>
    <w:rsid w:val="007E4B1C"/>
    <w:rsid w:val="007E5F48"/>
    <w:rsid w:val="007F5844"/>
    <w:rsid w:val="007F6D42"/>
    <w:rsid w:val="007F7DB1"/>
    <w:rsid w:val="0080194D"/>
    <w:rsid w:val="00802A1A"/>
    <w:rsid w:val="008040E7"/>
    <w:rsid w:val="0081736F"/>
    <w:rsid w:val="00831670"/>
    <w:rsid w:val="00837A7F"/>
    <w:rsid w:val="00852641"/>
    <w:rsid w:val="00854600"/>
    <w:rsid w:val="008614EA"/>
    <w:rsid w:val="00866482"/>
    <w:rsid w:val="0086781D"/>
    <w:rsid w:val="00873B32"/>
    <w:rsid w:val="008754E1"/>
    <w:rsid w:val="00875F4A"/>
    <w:rsid w:val="0088157C"/>
    <w:rsid w:val="00886914"/>
    <w:rsid w:val="00887C9E"/>
    <w:rsid w:val="0089758D"/>
    <w:rsid w:val="008A04F2"/>
    <w:rsid w:val="008A2B6D"/>
    <w:rsid w:val="008A6811"/>
    <w:rsid w:val="008A6CC6"/>
    <w:rsid w:val="008B0A00"/>
    <w:rsid w:val="008B1A1A"/>
    <w:rsid w:val="008B1F18"/>
    <w:rsid w:val="008B6223"/>
    <w:rsid w:val="008D4089"/>
    <w:rsid w:val="008E10D4"/>
    <w:rsid w:val="008F4DEA"/>
    <w:rsid w:val="008F51D4"/>
    <w:rsid w:val="008F596C"/>
    <w:rsid w:val="008F61D9"/>
    <w:rsid w:val="00903A3F"/>
    <w:rsid w:val="009049F6"/>
    <w:rsid w:val="00912F25"/>
    <w:rsid w:val="0091690C"/>
    <w:rsid w:val="009170E0"/>
    <w:rsid w:val="00920582"/>
    <w:rsid w:val="00923415"/>
    <w:rsid w:val="00923EB7"/>
    <w:rsid w:val="00927163"/>
    <w:rsid w:val="00942848"/>
    <w:rsid w:val="00950CBD"/>
    <w:rsid w:val="00962158"/>
    <w:rsid w:val="009663E4"/>
    <w:rsid w:val="00977208"/>
    <w:rsid w:val="0097759F"/>
    <w:rsid w:val="0099470C"/>
    <w:rsid w:val="009A449D"/>
    <w:rsid w:val="009B2E4E"/>
    <w:rsid w:val="009C7B53"/>
    <w:rsid w:val="009E5EB6"/>
    <w:rsid w:val="009E7570"/>
    <w:rsid w:val="00A15933"/>
    <w:rsid w:val="00A15AAF"/>
    <w:rsid w:val="00A16E21"/>
    <w:rsid w:val="00A253E6"/>
    <w:rsid w:val="00A25FB4"/>
    <w:rsid w:val="00A26C1A"/>
    <w:rsid w:val="00A30347"/>
    <w:rsid w:val="00A31E63"/>
    <w:rsid w:val="00A32339"/>
    <w:rsid w:val="00A34229"/>
    <w:rsid w:val="00A4150F"/>
    <w:rsid w:val="00A4264A"/>
    <w:rsid w:val="00A46F6A"/>
    <w:rsid w:val="00A60897"/>
    <w:rsid w:val="00A632C6"/>
    <w:rsid w:val="00A63F26"/>
    <w:rsid w:val="00A707AA"/>
    <w:rsid w:val="00A761F2"/>
    <w:rsid w:val="00A7622B"/>
    <w:rsid w:val="00A773CF"/>
    <w:rsid w:val="00A84CA5"/>
    <w:rsid w:val="00A90CF5"/>
    <w:rsid w:val="00AB0ECD"/>
    <w:rsid w:val="00AB60B4"/>
    <w:rsid w:val="00AC1069"/>
    <w:rsid w:val="00AC16E1"/>
    <w:rsid w:val="00AD398A"/>
    <w:rsid w:val="00AD656F"/>
    <w:rsid w:val="00AE3B32"/>
    <w:rsid w:val="00AE50B5"/>
    <w:rsid w:val="00AE76D7"/>
    <w:rsid w:val="00AF6D09"/>
    <w:rsid w:val="00B022B6"/>
    <w:rsid w:val="00B15B5A"/>
    <w:rsid w:val="00B2184A"/>
    <w:rsid w:val="00B248E1"/>
    <w:rsid w:val="00B30F92"/>
    <w:rsid w:val="00B366A7"/>
    <w:rsid w:val="00B40410"/>
    <w:rsid w:val="00B41124"/>
    <w:rsid w:val="00B46000"/>
    <w:rsid w:val="00B52F29"/>
    <w:rsid w:val="00B639BC"/>
    <w:rsid w:val="00B826E1"/>
    <w:rsid w:val="00B8321A"/>
    <w:rsid w:val="00B864E5"/>
    <w:rsid w:val="00B87E0A"/>
    <w:rsid w:val="00B9115C"/>
    <w:rsid w:val="00B9125D"/>
    <w:rsid w:val="00B95706"/>
    <w:rsid w:val="00B9615D"/>
    <w:rsid w:val="00BA1A45"/>
    <w:rsid w:val="00BA6CE6"/>
    <w:rsid w:val="00BA75C4"/>
    <w:rsid w:val="00BB1D70"/>
    <w:rsid w:val="00BB3F89"/>
    <w:rsid w:val="00BB650F"/>
    <w:rsid w:val="00BE0F68"/>
    <w:rsid w:val="00BF0A40"/>
    <w:rsid w:val="00C02912"/>
    <w:rsid w:val="00C12AC9"/>
    <w:rsid w:val="00C14731"/>
    <w:rsid w:val="00C173A0"/>
    <w:rsid w:val="00C17DF0"/>
    <w:rsid w:val="00C20C50"/>
    <w:rsid w:val="00C31B7D"/>
    <w:rsid w:val="00C32A9E"/>
    <w:rsid w:val="00C37B5F"/>
    <w:rsid w:val="00C458FA"/>
    <w:rsid w:val="00C55147"/>
    <w:rsid w:val="00C563B7"/>
    <w:rsid w:val="00C56737"/>
    <w:rsid w:val="00C633C7"/>
    <w:rsid w:val="00C75C57"/>
    <w:rsid w:val="00C76788"/>
    <w:rsid w:val="00C90D61"/>
    <w:rsid w:val="00C90F31"/>
    <w:rsid w:val="00CA1906"/>
    <w:rsid w:val="00CA55A4"/>
    <w:rsid w:val="00CB025B"/>
    <w:rsid w:val="00CC0404"/>
    <w:rsid w:val="00CD0165"/>
    <w:rsid w:val="00CD7E68"/>
    <w:rsid w:val="00CE2D6A"/>
    <w:rsid w:val="00CF40D2"/>
    <w:rsid w:val="00CF7969"/>
    <w:rsid w:val="00D1593E"/>
    <w:rsid w:val="00D179FB"/>
    <w:rsid w:val="00D22C11"/>
    <w:rsid w:val="00D23597"/>
    <w:rsid w:val="00D2774B"/>
    <w:rsid w:val="00D27EB5"/>
    <w:rsid w:val="00D35CD8"/>
    <w:rsid w:val="00D3682A"/>
    <w:rsid w:val="00D44574"/>
    <w:rsid w:val="00D50AB2"/>
    <w:rsid w:val="00D645BE"/>
    <w:rsid w:val="00D732EB"/>
    <w:rsid w:val="00D74E9B"/>
    <w:rsid w:val="00D82EDD"/>
    <w:rsid w:val="00D857E7"/>
    <w:rsid w:val="00D87A5C"/>
    <w:rsid w:val="00D910FA"/>
    <w:rsid w:val="00D926D1"/>
    <w:rsid w:val="00DA16BC"/>
    <w:rsid w:val="00DA3781"/>
    <w:rsid w:val="00DC4A86"/>
    <w:rsid w:val="00DC5EBD"/>
    <w:rsid w:val="00DD256C"/>
    <w:rsid w:val="00DD6AB0"/>
    <w:rsid w:val="00DE250F"/>
    <w:rsid w:val="00DE7BCB"/>
    <w:rsid w:val="00E01149"/>
    <w:rsid w:val="00E13AA0"/>
    <w:rsid w:val="00E14158"/>
    <w:rsid w:val="00E26BE4"/>
    <w:rsid w:val="00E27F39"/>
    <w:rsid w:val="00E34614"/>
    <w:rsid w:val="00E449BF"/>
    <w:rsid w:val="00E44BB5"/>
    <w:rsid w:val="00E60679"/>
    <w:rsid w:val="00E6145F"/>
    <w:rsid w:val="00E62B6A"/>
    <w:rsid w:val="00E73A0B"/>
    <w:rsid w:val="00E87182"/>
    <w:rsid w:val="00E91D6C"/>
    <w:rsid w:val="00E932FF"/>
    <w:rsid w:val="00E93B76"/>
    <w:rsid w:val="00EA2161"/>
    <w:rsid w:val="00EA66EC"/>
    <w:rsid w:val="00EC542E"/>
    <w:rsid w:val="00EC5DBC"/>
    <w:rsid w:val="00EC64FC"/>
    <w:rsid w:val="00EE041E"/>
    <w:rsid w:val="00EE2A41"/>
    <w:rsid w:val="00EE6E49"/>
    <w:rsid w:val="00EE7341"/>
    <w:rsid w:val="00EF52A4"/>
    <w:rsid w:val="00F02567"/>
    <w:rsid w:val="00F100D8"/>
    <w:rsid w:val="00F123B0"/>
    <w:rsid w:val="00F134D2"/>
    <w:rsid w:val="00F2064F"/>
    <w:rsid w:val="00F4588E"/>
    <w:rsid w:val="00F53113"/>
    <w:rsid w:val="00F535CD"/>
    <w:rsid w:val="00F53EB1"/>
    <w:rsid w:val="00F71344"/>
    <w:rsid w:val="00F723DB"/>
    <w:rsid w:val="00F7661C"/>
    <w:rsid w:val="00F829C1"/>
    <w:rsid w:val="00F87F64"/>
    <w:rsid w:val="00F91CBC"/>
    <w:rsid w:val="00FA1A8D"/>
    <w:rsid w:val="00FA6778"/>
    <w:rsid w:val="00FB7024"/>
    <w:rsid w:val="00FC14FF"/>
    <w:rsid w:val="00FC3CD6"/>
    <w:rsid w:val="00FC63F1"/>
    <w:rsid w:val="00FE1BAE"/>
    <w:rsid w:val="00FE669F"/>
    <w:rsid w:val="00FE7677"/>
    <w:rsid w:val="2AF15298"/>
    <w:rsid w:val="33E970B3"/>
    <w:rsid w:val="3BBD4DBB"/>
    <w:rsid w:val="55880E98"/>
    <w:rsid w:val="5FCC5B0E"/>
    <w:rsid w:val="60F1342B"/>
    <w:rsid w:val="75EF25F8"/>
    <w:rsid w:val="77B05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965ED4-877B-489A-8E39-BDB195C6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unhideWhenUsed="1"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annotation text"/>
    <w:basedOn w:val="a"/>
    <w:link w:val="Char0"/>
    <w:semiHidden/>
    <w:pPr>
      <w:jc w:val="left"/>
    </w:pPr>
  </w:style>
  <w:style w:type="paragraph" w:styleId="a5">
    <w:name w:val="Body Text"/>
    <w:basedOn w:val="a"/>
    <w:link w:val="Char1"/>
    <w:qFormat/>
    <w:pPr>
      <w:spacing w:after="120"/>
    </w:pPr>
  </w:style>
  <w:style w:type="paragraph" w:styleId="a6">
    <w:name w:val="Body Text Indent"/>
    <w:basedOn w:val="a"/>
    <w:link w:val="Char2"/>
    <w:unhideWhenUsed/>
    <w:pPr>
      <w:spacing w:after="120"/>
      <w:ind w:leftChars="200" w:left="420"/>
    </w:pPr>
  </w:style>
  <w:style w:type="paragraph" w:styleId="30">
    <w:name w:val="toc 3"/>
    <w:basedOn w:val="a"/>
    <w:next w:val="a"/>
    <w:uiPriority w:val="39"/>
    <w:unhideWhenUsed/>
    <w:qFormat/>
    <w:pPr>
      <w:ind w:leftChars="400" w:left="840"/>
    </w:pPr>
  </w:style>
  <w:style w:type="paragraph" w:styleId="a7">
    <w:name w:val="Date"/>
    <w:basedOn w:val="a"/>
    <w:next w:val="a"/>
    <w:link w:val="Char3"/>
    <w:unhideWhenUsed/>
    <w:qFormat/>
    <w:pPr>
      <w:ind w:leftChars="2500" w:left="100"/>
    </w:pPr>
  </w:style>
  <w:style w:type="paragraph" w:styleId="2">
    <w:name w:val="Body Text Indent 2"/>
    <w:basedOn w:val="a"/>
    <w:link w:val="2Char"/>
    <w:qFormat/>
    <w:pPr>
      <w:spacing w:line="600" w:lineRule="exact"/>
      <w:ind w:firstLineChars="200" w:firstLine="600"/>
    </w:pPr>
    <w:rPr>
      <w:rFonts w:ascii="仿宋_GB2312" w:eastAsia="仿宋_GB2312" w:hAnsi="宋体"/>
      <w:sz w:val="30"/>
      <w:szCs w:val="30"/>
    </w:rPr>
  </w:style>
  <w:style w:type="paragraph" w:styleId="a8">
    <w:name w:val="Balloon Text"/>
    <w:basedOn w:val="a"/>
    <w:link w:val="Char4"/>
    <w:semiHidden/>
    <w:qFormat/>
    <w:rPr>
      <w:sz w:val="18"/>
      <w:szCs w:val="18"/>
    </w:rPr>
  </w:style>
  <w:style w:type="paragraph" w:styleId="a9">
    <w:name w:val="footer"/>
    <w:basedOn w:val="a"/>
    <w:link w:val="Char5"/>
    <w:uiPriority w:val="99"/>
    <w:qFormat/>
    <w:pPr>
      <w:tabs>
        <w:tab w:val="center" w:pos="4153"/>
        <w:tab w:val="right" w:pos="8306"/>
      </w:tabs>
      <w:snapToGrid w:val="0"/>
      <w:jc w:val="left"/>
    </w:pPr>
    <w:rPr>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302"/>
      </w:tabs>
      <w:spacing w:line="360" w:lineRule="auto"/>
    </w:pPr>
  </w:style>
  <w:style w:type="paragraph" w:styleId="31">
    <w:name w:val="Body Text Indent 3"/>
    <w:basedOn w:val="a"/>
    <w:link w:val="3Char0"/>
    <w:unhideWhenUsed/>
    <w:qFormat/>
    <w:pPr>
      <w:spacing w:after="120"/>
      <w:ind w:leftChars="200" w:left="420"/>
    </w:pPr>
    <w:rPr>
      <w:sz w:val="16"/>
      <w:szCs w:val="16"/>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7"/>
    <w:semiHidden/>
    <w:qFormat/>
    <w:rPr>
      <w:b/>
      <w:bCs/>
    </w:rPr>
  </w:style>
  <w:style w:type="table" w:styleId="ad">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0"/>
    <w:qFormat/>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21"/>
      <w:szCs w:val="21"/>
    </w:rPr>
  </w:style>
  <w:style w:type="character" w:customStyle="1" w:styleId="32">
    <w:name w:val="标题 3 字符"/>
    <w:basedOn w:val="a0"/>
    <w:uiPriority w:val="9"/>
    <w:semiHidden/>
    <w:qFormat/>
    <w:rPr>
      <w:rFonts w:ascii="Times New Roman" w:eastAsia="宋体" w:hAnsi="Times New Roman" w:cs="Times New Roman"/>
      <w:b/>
      <w:bCs/>
      <w:sz w:val="32"/>
      <w:szCs w:val="32"/>
    </w:rPr>
  </w:style>
  <w:style w:type="character" w:customStyle="1" w:styleId="11">
    <w:name w:val="标题 1 字符"/>
    <w:basedOn w:val="a0"/>
    <w:uiPriority w:val="9"/>
    <w:qFormat/>
    <w:rPr>
      <w:rFonts w:ascii="Times New Roman" w:eastAsia="宋体" w:hAnsi="Times New Roman" w:cs="Times New Roman"/>
      <w:b/>
      <w:bCs/>
      <w:kern w:val="44"/>
      <w:sz w:val="44"/>
      <w:szCs w:val="44"/>
    </w:rPr>
  </w:style>
  <w:style w:type="character" w:customStyle="1" w:styleId="af3">
    <w:name w:val="日期 字符"/>
    <w:basedOn w:val="a0"/>
    <w:uiPriority w:val="99"/>
    <w:semiHidden/>
    <w:qFormat/>
    <w:rPr>
      <w:rFonts w:ascii="Times New Roman" w:eastAsia="宋体" w:hAnsi="Times New Roman" w:cs="Times New Roman"/>
      <w:szCs w:val="24"/>
    </w:rPr>
  </w:style>
  <w:style w:type="character" w:customStyle="1" w:styleId="Char3">
    <w:name w:val="日期 Char"/>
    <w:link w:val="a7"/>
    <w:qFormat/>
    <w:rPr>
      <w:rFonts w:ascii="Times New Roman" w:eastAsia="宋体" w:hAnsi="Times New Roman" w:cs="Times New Roman"/>
      <w:szCs w:val="24"/>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af4">
    <w:name w:val="页脚 字符"/>
    <w:basedOn w:val="a0"/>
    <w:uiPriority w:val="99"/>
    <w:semiHidden/>
    <w:qFormat/>
    <w:rPr>
      <w:rFonts w:ascii="Times New Roman" w:eastAsia="宋体" w:hAnsi="Times New Roman" w:cs="Times New Roman"/>
      <w:sz w:val="18"/>
      <w:szCs w:val="18"/>
    </w:rPr>
  </w:style>
  <w:style w:type="character" w:customStyle="1" w:styleId="Char5">
    <w:name w:val="页脚 Char"/>
    <w:link w:val="a9"/>
    <w:uiPriority w:val="99"/>
    <w:qFormat/>
    <w:rPr>
      <w:rFonts w:ascii="Times New Roman" w:eastAsia="宋体" w:hAnsi="Times New Roman" w:cs="Times New Roman"/>
      <w:sz w:val="18"/>
      <w:szCs w:val="18"/>
    </w:rPr>
  </w:style>
  <w:style w:type="character" w:customStyle="1" w:styleId="20">
    <w:name w:val="正文文本缩进 2 字符"/>
    <w:basedOn w:val="a0"/>
    <w:uiPriority w:val="99"/>
    <w:semiHidden/>
    <w:qFormat/>
    <w:rPr>
      <w:rFonts w:ascii="Times New Roman" w:eastAsia="宋体" w:hAnsi="Times New Roman" w:cs="Times New Roman"/>
      <w:szCs w:val="24"/>
    </w:rPr>
  </w:style>
  <w:style w:type="character" w:customStyle="1" w:styleId="2Char">
    <w:name w:val="正文文本缩进 2 Char"/>
    <w:link w:val="2"/>
    <w:qFormat/>
    <w:rPr>
      <w:rFonts w:ascii="仿宋_GB2312" w:eastAsia="仿宋_GB2312" w:hAnsi="宋体" w:cs="Times New Roman"/>
      <w:sz w:val="30"/>
      <w:szCs w:val="30"/>
    </w:rPr>
  </w:style>
  <w:style w:type="character" w:customStyle="1" w:styleId="af5">
    <w:name w:val="正文文本缩进 字符"/>
    <w:basedOn w:val="a0"/>
    <w:uiPriority w:val="99"/>
    <w:semiHidden/>
    <w:qFormat/>
    <w:rPr>
      <w:rFonts w:ascii="Times New Roman" w:eastAsia="宋体" w:hAnsi="Times New Roman" w:cs="Times New Roman"/>
      <w:szCs w:val="24"/>
    </w:rPr>
  </w:style>
  <w:style w:type="character" w:customStyle="1" w:styleId="Char2">
    <w:name w:val="正文文本缩进 Char"/>
    <w:link w:val="a6"/>
    <w:qFormat/>
    <w:rPr>
      <w:rFonts w:ascii="Times New Roman" w:eastAsia="宋体" w:hAnsi="Times New Roman" w:cs="Times New Roman"/>
      <w:szCs w:val="24"/>
    </w:rPr>
  </w:style>
  <w:style w:type="character" w:customStyle="1" w:styleId="33">
    <w:name w:val="正文文本缩进 3 字符"/>
    <w:basedOn w:val="a0"/>
    <w:uiPriority w:val="99"/>
    <w:semiHidden/>
    <w:qFormat/>
    <w:rPr>
      <w:rFonts w:ascii="Times New Roman" w:eastAsia="宋体" w:hAnsi="Times New Roman" w:cs="Times New Roman"/>
      <w:sz w:val="16"/>
      <w:szCs w:val="16"/>
    </w:rPr>
  </w:style>
  <w:style w:type="character" w:customStyle="1" w:styleId="3Char0">
    <w:name w:val="正文文本缩进 3 Char"/>
    <w:link w:val="31"/>
    <w:qFormat/>
    <w:rPr>
      <w:rFonts w:ascii="Times New Roman" w:eastAsia="宋体" w:hAnsi="Times New Roman" w:cs="Times New Roman"/>
      <w:sz w:val="16"/>
      <w:szCs w:val="16"/>
    </w:rPr>
  </w:style>
  <w:style w:type="character" w:customStyle="1" w:styleId="af6">
    <w:name w:val="页眉 字符"/>
    <w:basedOn w:val="a0"/>
    <w:uiPriority w:val="99"/>
    <w:semiHidden/>
    <w:qFormat/>
    <w:rPr>
      <w:rFonts w:ascii="Times New Roman" w:eastAsia="宋体" w:hAnsi="Times New Roman" w:cs="Times New Roman"/>
      <w:sz w:val="18"/>
      <w:szCs w:val="18"/>
    </w:rPr>
  </w:style>
  <w:style w:type="character" w:customStyle="1" w:styleId="Char6">
    <w:name w:val="页眉 Char"/>
    <w:link w:val="aa"/>
    <w:uiPriority w:val="99"/>
    <w:qFormat/>
    <w:rPr>
      <w:rFonts w:ascii="Times New Roman" w:eastAsia="宋体" w:hAnsi="Times New Roman" w:cs="Times New Roman"/>
      <w:sz w:val="18"/>
      <w:szCs w:val="18"/>
    </w:rPr>
  </w:style>
  <w:style w:type="paragraph" w:styleId="af7">
    <w:name w:val="List Paragraph"/>
    <w:basedOn w:val="a"/>
    <w:uiPriority w:val="34"/>
    <w:qFormat/>
    <w:pPr>
      <w:ind w:firstLineChars="200" w:firstLine="420"/>
    </w:pPr>
  </w:style>
  <w:style w:type="character" w:customStyle="1" w:styleId="HTML0">
    <w:name w:val="HTML 预设格式 字符"/>
    <w:basedOn w:val="a0"/>
    <w:uiPriority w:val="99"/>
    <w:semiHidden/>
    <w:qFormat/>
    <w:rPr>
      <w:rFonts w:ascii="Courier New" w:eastAsia="宋体" w:hAnsi="Courier New" w:cs="Courier New"/>
      <w:sz w:val="20"/>
      <w:szCs w:val="20"/>
    </w:rPr>
  </w:style>
  <w:style w:type="character" w:customStyle="1" w:styleId="HTMLChar">
    <w:name w:val="HTML 预设格式 Char"/>
    <w:link w:val="HTML"/>
    <w:qFormat/>
    <w:rPr>
      <w:rFonts w:ascii="宋体" w:eastAsia="宋体" w:hAnsi="宋体" w:cs="宋体"/>
      <w:kern w:val="0"/>
      <w:sz w:val="24"/>
      <w:szCs w:val="2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lang w:eastAsia="en-US"/>
    </w:rPr>
  </w:style>
  <w:style w:type="character" w:customStyle="1" w:styleId="af8">
    <w:name w:val="批注框文本 字符"/>
    <w:basedOn w:val="a0"/>
    <w:uiPriority w:val="99"/>
    <w:semiHidden/>
    <w:qFormat/>
    <w:rPr>
      <w:rFonts w:ascii="Times New Roman" w:eastAsia="宋体" w:hAnsi="Times New Roman" w:cs="Times New Roman"/>
      <w:sz w:val="18"/>
      <w:szCs w:val="18"/>
    </w:rPr>
  </w:style>
  <w:style w:type="character" w:customStyle="1" w:styleId="Char4">
    <w:name w:val="批注框文本 Char"/>
    <w:link w:val="a8"/>
    <w:semiHidden/>
    <w:qFormat/>
    <w:rPr>
      <w:rFonts w:ascii="Times New Roman" w:eastAsia="宋体" w:hAnsi="Times New Roman" w:cs="Times New Roman"/>
      <w:sz w:val="18"/>
      <w:szCs w:val="18"/>
    </w:rPr>
  </w:style>
  <w:style w:type="character" w:customStyle="1" w:styleId="apple-style-span">
    <w:name w:val="apple-style-span"/>
    <w:basedOn w:val="a0"/>
    <w:qFormat/>
  </w:style>
  <w:style w:type="character" w:customStyle="1" w:styleId="Char0">
    <w:name w:val="批注文字 Char"/>
    <w:basedOn w:val="a0"/>
    <w:link w:val="a4"/>
    <w:semiHidden/>
    <w:qFormat/>
    <w:rPr>
      <w:rFonts w:ascii="Times New Roman" w:eastAsia="宋体" w:hAnsi="Times New Roman" w:cs="Times New Roman"/>
      <w:szCs w:val="24"/>
    </w:rPr>
  </w:style>
  <w:style w:type="character" w:customStyle="1" w:styleId="Char7">
    <w:name w:val="批注主题 Char"/>
    <w:basedOn w:val="Char0"/>
    <w:link w:val="ac"/>
    <w:semiHidden/>
    <w:qFormat/>
    <w:rPr>
      <w:rFonts w:ascii="Times New Roman" w:eastAsia="宋体" w:hAnsi="Times New Roman" w:cs="Times New Roman"/>
      <w:b/>
      <w:bCs/>
      <w:szCs w:val="24"/>
    </w:rPr>
  </w:style>
  <w:style w:type="character" w:customStyle="1" w:styleId="Char1">
    <w:name w:val="正文文本 Char"/>
    <w:basedOn w:val="a0"/>
    <w:link w:val="a5"/>
    <w:qFormat/>
    <w:rPr>
      <w:rFonts w:ascii="Times New Roman" w:eastAsia="宋体" w:hAnsi="Times New Roman" w:cs="Times New Roman"/>
      <w:szCs w:val="24"/>
    </w:rPr>
  </w:style>
  <w:style w:type="paragraph" w:customStyle="1" w:styleId="12">
    <w:name w:val="修订1"/>
    <w:hidden/>
    <w:uiPriority w:val="99"/>
    <w:semiHidden/>
    <w:qFormat/>
    <w:rPr>
      <w:rFonts w:ascii="Times New Roman" w:eastAsia="宋体" w:hAnsi="Times New Roman" w:cs="Times New Roman"/>
      <w:kern w:val="2"/>
      <w:sz w:val="21"/>
      <w:szCs w:val="24"/>
    </w:rPr>
  </w:style>
  <w:style w:type="character" w:customStyle="1" w:styleId="af9">
    <w:name w:val="文档结构图 字符"/>
    <w:basedOn w:val="a0"/>
    <w:uiPriority w:val="99"/>
    <w:semiHidden/>
    <w:qFormat/>
    <w:rPr>
      <w:rFonts w:ascii="Microsoft YaHei UI" w:eastAsia="Microsoft YaHei UI" w:hAnsi="Times New Roman" w:cs="Times New Roman"/>
      <w:sz w:val="18"/>
      <w:szCs w:val="18"/>
    </w:rPr>
  </w:style>
  <w:style w:type="character" w:customStyle="1" w:styleId="Char">
    <w:name w:val="文档结构图 Char"/>
    <w:link w:val="a3"/>
    <w:uiPriority w:val="99"/>
    <w:semiHidden/>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7</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328753531@qq.com</dc:creator>
  <cp:lastModifiedBy>郑妍</cp:lastModifiedBy>
  <cp:revision>23</cp:revision>
  <dcterms:created xsi:type="dcterms:W3CDTF">2024-12-27T05:58:00Z</dcterms:created>
  <dcterms:modified xsi:type="dcterms:W3CDTF">2025-04-28T12:47:00Z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BF575CF0895078042DE69C657E26E44F_43</vt:lpwstr>
  </property>
</Properties>
</file>