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86598" w14:textId="4A43A893" w:rsidR="00E73699" w:rsidRDefault="00C220E4">
      <w:pPr>
        <w:adjustRightInd w:val="0"/>
        <w:snapToGrid w:val="0"/>
        <w:spacing w:line="600" w:lineRule="exact"/>
        <w:rPr>
          <w:rFonts w:ascii="黑体" w:eastAsia="黑体" w:hAnsi="黑体"/>
          <w:b/>
          <w:sz w:val="28"/>
          <w:szCs w:val="28"/>
        </w:rPr>
      </w:pPr>
      <w:r>
        <w:rPr>
          <w:rFonts w:ascii="黑体" w:eastAsia="黑体" w:hAnsi="黑体" w:hint="eastAsia"/>
          <w:b/>
          <w:sz w:val="28"/>
          <w:szCs w:val="28"/>
        </w:rPr>
        <w:t>证券代码：688159</w:t>
      </w:r>
      <w:r>
        <w:rPr>
          <w:rFonts w:ascii="黑体" w:eastAsia="黑体" w:hAnsi="黑体"/>
          <w:b/>
          <w:sz w:val="28"/>
          <w:szCs w:val="28"/>
        </w:rPr>
        <w:t xml:space="preserve">    </w:t>
      </w:r>
      <w:r>
        <w:rPr>
          <w:rFonts w:ascii="黑体" w:eastAsia="黑体" w:hAnsi="黑体" w:hint="eastAsia"/>
          <w:b/>
          <w:sz w:val="28"/>
          <w:szCs w:val="28"/>
        </w:rPr>
        <w:t xml:space="preserve">证券简称：有方科技 </w:t>
      </w:r>
      <w:r>
        <w:rPr>
          <w:rFonts w:ascii="黑体" w:eastAsia="黑体" w:hAnsi="黑体"/>
          <w:b/>
          <w:sz w:val="28"/>
          <w:szCs w:val="28"/>
        </w:rPr>
        <w:t xml:space="preserve">   </w:t>
      </w:r>
      <w:r>
        <w:rPr>
          <w:rFonts w:ascii="黑体" w:eastAsia="黑体" w:hAnsi="黑体" w:hint="eastAsia"/>
          <w:b/>
          <w:sz w:val="28"/>
          <w:szCs w:val="28"/>
        </w:rPr>
        <w:t>公告编号</w:t>
      </w:r>
      <w:r w:rsidRPr="00552AB8">
        <w:rPr>
          <w:rFonts w:ascii="黑体" w:eastAsia="黑体" w:hAnsi="黑体" w:hint="eastAsia"/>
          <w:b/>
          <w:sz w:val="28"/>
          <w:szCs w:val="28"/>
        </w:rPr>
        <w:t>：2026-</w:t>
      </w:r>
      <w:r w:rsidRPr="00552AB8">
        <w:rPr>
          <w:rFonts w:ascii="黑体" w:eastAsia="黑体" w:hAnsi="黑体"/>
          <w:b/>
          <w:sz w:val="28"/>
          <w:szCs w:val="28"/>
        </w:rPr>
        <w:t>0</w:t>
      </w:r>
      <w:r w:rsidR="00552AB8" w:rsidRPr="00552AB8">
        <w:rPr>
          <w:rFonts w:ascii="黑体" w:eastAsia="黑体" w:hAnsi="黑体"/>
          <w:b/>
          <w:sz w:val="28"/>
          <w:szCs w:val="28"/>
        </w:rPr>
        <w:t>12</w:t>
      </w:r>
    </w:p>
    <w:p w14:paraId="43B69F61" w14:textId="77777777" w:rsidR="00E73699" w:rsidRDefault="00E73699">
      <w:pPr>
        <w:adjustRightInd w:val="0"/>
        <w:snapToGrid w:val="0"/>
        <w:spacing w:line="600" w:lineRule="exact"/>
        <w:ind w:firstLineChars="200" w:firstLine="420"/>
        <w:rPr>
          <w:rFonts w:ascii="宋体" w:hAnsi="宋体" w:cs="宋体"/>
          <w:color w:val="000000"/>
          <w:kern w:val="0"/>
          <w:szCs w:val="21"/>
        </w:rPr>
      </w:pPr>
    </w:p>
    <w:p w14:paraId="327F8DCF" w14:textId="77777777" w:rsidR="00E73699" w:rsidRDefault="00C220E4">
      <w:pPr>
        <w:spacing w:line="600" w:lineRule="exact"/>
        <w:jc w:val="center"/>
        <w:rPr>
          <w:rFonts w:ascii="黑体" w:eastAsia="黑体" w:hAnsi="黑体"/>
          <w:b/>
          <w:bCs/>
          <w:sz w:val="44"/>
          <w:szCs w:val="44"/>
        </w:rPr>
      </w:pPr>
      <w:r>
        <w:rPr>
          <w:rFonts w:ascii="黑体" w:eastAsia="黑体" w:hAnsi="黑体" w:hint="eastAsia"/>
          <w:b/>
          <w:bCs/>
          <w:sz w:val="44"/>
          <w:szCs w:val="44"/>
        </w:rPr>
        <w:t>深圳市有方科技</w:t>
      </w:r>
      <w:r>
        <w:rPr>
          <w:rFonts w:ascii="黑体" w:eastAsia="黑体" w:hAnsi="黑体"/>
          <w:b/>
          <w:bCs/>
          <w:sz w:val="44"/>
          <w:szCs w:val="44"/>
        </w:rPr>
        <w:t>股份有限公司</w:t>
      </w:r>
    </w:p>
    <w:p w14:paraId="626FFE7C" w14:textId="77777777" w:rsidR="00E73699" w:rsidRDefault="00C220E4">
      <w:pPr>
        <w:spacing w:line="600" w:lineRule="exact"/>
        <w:jc w:val="center"/>
        <w:rPr>
          <w:rFonts w:ascii="黑体" w:eastAsia="黑体" w:hAnsi="黑体"/>
          <w:b/>
          <w:bCs/>
          <w:sz w:val="44"/>
          <w:szCs w:val="44"/>
        </w:rPr>
      </w:pPr>
      <w:r>
        <w:rPr>
          <w:rFonts w:ascii="黑体" w:eastAsia="黑体" w:hAnsi="黑体" w:hint="eastAsia"/>
          <w:b/>
          <w:bCs/>
          <w:sz w:val="44"/>
          <w:szCs w:val="44"/>
        </w:rPr>
        <w:t>202</w:t>
      </w:r>
      <w:r>
        <w:rPr>
          <w:rFonts w:ascii="黑体" w:eastAsia="黑体" w:hAnsi="黑体"/>
          <w:b/>
          <w:bCs/>
          <w:sz w:val="44"/>
          <w:szCs w:val="44"/>
        </w:rPr>
        <w:t>5年度业绩</w:t>
      </w:r>
      <w:r>
        <w:rPr>
          <w:rFonts w:ascii="黑体" w:eastAsia="黑体" w:hAnsi="黑体" w:hint="eastAsia"/>
          <w:b/>
          <w:bCs/>
          <w:sz w:val="44"/>
          <w:szCs w:val="44"/>
        </w:rPr>
        <w:t>快报更正</w:t>
      </w:r>
      <w:r>
        <w:rPr>
          <w:rFonts w:ascii="黑体" w:eastAsia="黑体" w:hAnsi="黑体"/>
          <w:b/>
          <w:bCs/>
          <w:sz w:val="44"/>
          <w:szCs w:val="44"/>
        </w:rPr>
        <w:t>公告</w:t>
      </w:r>
    </w:p>
    <w:p w14:paraId="1D3BE00B" w14:textId="77777777" w:rsidR="00E73699" w:rsidRDefault="00E73699">
      <w:pPr>
        <w:adjustRightInd w:val="0"/>
        <w:snapToGrid w:val="0"/>
        <w:spacing w:line="600" w:lineRule="exact"/>
        <w:jc w:val="center"/>
        <w:rPr>
          <w:rFonts w:ascii="仿宋_GB2312" w:eastAsia="仿宋_GB2312" w:hAnsi="宋体"/>
          <w:sz w:val="30"/>
          <w:szCs w:val="30"/>
        </w:rPr>
      </w:pPr>
      <w:bookmarkStart w:id="0" w:name="_GoBack"/>
      <w:bookmarkEnd w:id="0"/>
    </w:p>
    <w:p w14:paraId="1D0EB4E7" w14:textId="77777777" w:rsidR="00E73699" w:rsidRDefault="00C220E4">
      <w:pPr>
        <w:pBdr>
          <w:top w:val="single" w:sz="4" w:space="1" w:color="auto"/>
          <w:left w:val="single" w:sz="4" w:space="4" w:color="auto"/>
          <w:bottom w:val="single" w:sz="4" w:space="1" w:color="auto"/>
          <w:right w:val="single" w:sz="4" w:space="4" w:color="auto"/>
        </w:pBdr>
        <w:adjustRightInd w:val="0"/>
        <w:snapToGrid w:val="0"/>
        <w:spacing w:line="600" w:lineRule="exact"/>
        <w:ind w:firstLineChars="200" w:firstLine="480"/>
        <w:rPr>
          <w:rFonts w:ascii="宋体" w:hAnsi="宋体"/>
          <w:sz w:val="24"/>
        </w:rPr>
      </w:pPr>
      <w:r>
        <w:rPr>
          <w:rFonts w:ascii="宋体" w:hAnsi="宋体" w:hint="eastAsia"/>
          <w:sz w:val="24"/>
        </w:rPr>
        <w:t>本公司董事会及全体董事保证本公告内容不存在任何虚假记载、误导性陈述或者重大遗漏，并对其内容的真实性、准确性和完整性依法承担法律责任。</w:t>
      </w:r>
    </w:p>
    <w:p w14:paraId="46932651" w14:textId="77777777" w:rsidR="00E73699" w:rsidRDefault="00E73699">
      <w:pPr>
        <w:adjustRightInd w:val="0"/>
        <w:snapToGrid w:val="0"/>
        <w:spacing w:line="600" w:lineRule="exact"/>
        <w:ind w:firstLineChars="200" w:firstLine="600"/>
        <w:rPr>
          <w:rFonts w:ascii="仿宋_GB2312" w:eastAsia="仿宋_GB2312" w:hAnsi="宋体"/>
          <w:color w:val="000000"/>
          <w:sz w:val="30"/>
          <w:szCs w:val="30"/>
        </w:rPr>
      </w:pPr>
    </w:p>
    <w:p w14:paraId="5F00BF62" w14:textId="581B463C" w:rsidR="00E73699" w:rsidRDefault="00C220E4">
      <w:pPr>
        <w:widowControl/>
        <w:spacing w:line="360" w:lineRule="auto"/>
        <w:ind w:firstLineChars="200" w:firstLine="560"/>
        <w:rPr>
          <w:color w:val="000000"/>
          <w:kern w:val="0"/>
          <w:sz w:val="28"/>
          <w:szCs w:val="28"/>
        </w:rPr>
      </w:pPr>
      <w:r>
        <w:rPr>
          <w:rFonts w:hint="eastAsia"/>
          <w:color w:val="000000"/>
          <w:kern w:val="0"/>
          <w:sz w:val="28"/>
          <w:szCs w:val="28"/>
        </w:rPr>
        <w:t>深圳市有方科技股份有限公司于</w:t>
      </w:r>
      <w:r>
        <w:rPr>
          <w:rFonts w:hint="eastAsia"/>
          <w:color w:val="000000"/>
          <w:kern w:val="0"/>
          <w:sz w:val="28"/>
          <w:szCs w:val="28"/>
        </w:rPr>
        <w:t>2026</w:t>
      </w:r>
      <w:r>
        <w:rPr>
          <w:rFonts w:hint="eastAsia"/>
          <w:color w:val="000000"/>
          <w:kern w:val="0"/>
          <w:sz w:val="28"/>
          <w:szCs w:val="28"/>
        </w:rPr>
        <w:t>年</w:t>
      </w:r>
      <w:r>
        <w:rPr>
          <w:rFonts w:hint="eastAsia"/>
          <w:color w:val="000000"/>
          <w:kern w:val="0"/>
          <w:sz w:val="28"/>
          <w:szCs w:val="28"/>
        </w:rPr>
        <w:t>2</w:t>
      </w:r>
      <w:r>
        <w:rPr>
          <w:rFonts w:hint="eastAsia"/>
          <w:color w:val="000000"/>
          <w:kern w:val="0"/>
          <w:sz w:val="28"/>
          <w:szCs w:val="28"/>
        </w:rPr>
        <w:t>月</w:t>
      </w:r>
      <w:r>
        <w:rPr>
          <w:rFonts w:hint="eastAsia"/>
          <w:color w:val="000000"/>
          <w:kern w:val="0"/>
          <w:sz w:val="28"/>
          <w:szCs w:val="28"/>
        </w:rPr>
        <w:t>2</w:t>
      </w:r>
      <w:r>
        <w:rPr>
          <w:color w:val="000000"/>
          <w:kern w:val="0"/>
          <w:sz w:val="28"/>
          <w:szCs w:val="28"/>
        </w:rPr>
        <w:t>8</w:t>
      </w:r>
      <w:r>
        <w:rPr>
          <w:rFonts w:hint="eastAsia"/>
          <w:color w:val="000000"/>
          <w:kern w:val="0"/>
          <w:sz w:val="28"/>
          <w:szCs w:val="28"/>
        </w:rPr>
        <w:t>日在上海证券交易所网站（</w:t>
      </w:r>
      <w:r>
        <w:rPr>
          <w:rFonts w:hint="eastAsia"/>
          <w:color w:val="000000"/>
          <w:kern w:val="0"/>
          <w:sz w:val="28"/>
          <w:szCs w:val="28"/>
        </w:rPr>
        <w:t>www.sse.com.cn</w:t>
      </w:r>
      <w:r>
        <w:rPr>
          <w:rFonts w:hint="eastAsia"/>
          <w:color w:val="000000"/>
          <w:kern w:val="0"/>
          <w:sz w:val="28"/>
          <w:szCs w:val="28"/>
        </w:rPr>
        <w:t>）和《上海证券报》《证券时报》《证券日报》披露了公司</w:t>
      </w:r>
      <w:r>
        <w:rPr>
          <w:rFonts w:hint="eastAsia"/>
          <w:color w:val="000000"/>
          <w:kern w:val="0"/>
          <w:sz w:val="28"/>
          <w:szCs w:val="28"/>
        </w:rPr>
        <w:t>2025</w:t>
      </w:r>
      <w:r>
        <w:rPr>
          <w:rFonts w:hint="eastAsia"/>
          <w:color w:val="000000"/>
          <w:kern w:val="0"/>
          <w:sz w:val="28"/>
          <w:szCs w:val="28"/>
        </w:rPr>
        <w:t>年度业绩</w:t>
      </w:r>
      <w:r>
        <w:rPr>
          <w:color w:val="000000"/>
          <w:kern w:val="0"/>
          <w:sz w:val="28"/>
          <w:szCs w:val="28"/>
        </w:rPr>
        <w:t>快报</w:t>
      </w:r>
      <w:r>
        <w:rPr>
          <w:rFonts w:hint="eastAsia"/>
          <w:color w:val="000000"/>
          <w:kern w:val="0"/>
          <w:sz w:val="28"/>
          <w:szCs w:val="28"/>
        </w:rPr>
        <w:t>。现对相关内容修正如</w:t>
      </w:r>
      <w:r w:rsidRPr="00746820">
        <w:rPr>
          <w:rFonts w:hint="eastAsia"/>
          <w:color w:val="000000"/>
          <w:kern w:val="0"/>
          <w:sz w:val="28"/>
          <w:szCs w:val="28"/>
        </w:rPr>
        <w:t>下，财务数据</w:t>
      </w:r>
      <w:r w:rsidR="00746820" w:rsidRPr="00746820">
        <w:rPr>
          <w:rFonts w:hint="eastAsia"/>
          <w:color w:val="000000"/>
          <w:kern w:val="0"/>
          <w:sz w:val="28"/>
          <w:szCs w:val="28"/>
        </w:rPr>
        <w:t>已</w:t>
      </w:r>
      <w:r w:rsidRPr="00746820">
        <w:rPr>
          <w:rFonts w:hint="eastAsia"/>
          <w:color w:val="000000"/>
          <w:kern w:val="0"/>
          <w:sz w:val="28"/>
          <w:szCs w:val="28"/>
        </w:rPr>
        <w:t>经会计师事务所审计，</w:t>
      </w:r>
      <w:r w:rsidR="00746820" w:rsidRPr="00746820">
        <w:rPr>
          <w:rFonts w:hint="eastAsia"/>
          <w:color w:val="000000"/>
          <w:kern w:val="0"/>
          <w:sz w:val="28"/>
          <w:szCs w:val="28"/>
        </w:rPr>
        <w:t>详情请见</w:t>
      </w:r>
      <w:r w:rsidRPr="00746820">
        <w:rPr>
          <w:rFonts w:hint="eastAsia"/>
          <w:color w:val="000000"/>
          <w:kern w:val="0"/>
          <w:sz w:val="28"/>
          <w:szCs w:val="28"/>
        </w:rPr>
        <w:t>公司披露的</w:t>
      </w:r>
      <w:r w:rsidRPr="00746820">
        <w:rPr>
          <w:rFonts w:hint="eastAsia"/>
          <w:color w:val="000000"/>
          <w:kern w:val="0"/>
          <w:sz w:val="28"/>
          <w:szCs w:val="28"/>
        </w:rPr>
        <w:t>20</w:t>
      </w:r>
      <w:r w:rsidRPr="00746820">
        <w:rPr>
          <w:color w:val="000000"/>
          <w:kern w:val="0"/>
          <w:sz w:val="28"/>
          <w:szCs w:val="28"/>
        </w:rPr>
        <w:t>25</w:t>
      </w:r>
      <w:r w:rsidRPr="00746820">
        <w:rPr>
          <w:rFonts w:hint="eastAsia"/>
          <w:color w:val="000000"/>
          <w:kern w:val="0"/>
          <w:sz w:val="28"/>
          <w:szCs w:val="28"/>
        </w:rPr>
        <w:t>年年度报告，提请投资者注意投资风险。</w:t>
      </w:r>
    </w:p>
    <w:p w14:paraId="6F0FAED2" w14:textId="77777777" w:rsidR="00E73699" w:rsidRDefault="00C220E4">
      <w:pPr>
        <w:widowControl/>
        <w:spacing w:line="600" w:lineRule="exact"/>
        <w:jc w:val="left"/>
        <w:rPr>
          <w:rFonts w:ascii="宋体" w:hAnsi="宋体" w:cs="宋体"/>
          <w:b/>
          <w:color w:val="000000"/>
          <w:kern w:val="0"/>
          <w:sz w:val="28"/>
          <w:szCs w:val="28"/>
        </w:rPr>
      </w:pPr>
      <w:r>
        <w:rPr>
          <w:rFonts w:ascii="宋体" w:hAnsi="宋体" w:cs="宋体" w:hint="eastAsia"/>
          <w:b/>
          <w:color w:val="000000"/>
          <w:kern w:val="0"/>
          <w:sz w:val="28"/>
          <w:szCs w:val="28"/>
        </w:rPr>
        <w:t>一、修正前后的主要财务数据和指标</w:t>
      </w:r>
    </w:p>
    <w:p w14:paraId="726A5CE1" w14:textId="77777777" w:rsidR="00E73699" w:rsidRDefault="00C220E4">
      <w:pPr>
        <w:widowControl/>
        <w:spacing w:line="600" w:lineRule="exact"/>
        <w:ind w:firstLineChars="200" w:firstLine="480"/>
        <w:jc w:val="right"/>
        <w:rPr>
          <w:rFonts w:ascii="宋体" w:hAnsi="宋体" w:cs="宋体"/>
          <w:color w:val="000000"/>
          <w:kern w:val="0"/>
          <w:sz w:val="24"/>
        </w:rPr>
      </w:pPr>
      <w:r>
        <w:rPr>
          <w:rFonts w:ascii="宋体" w:hAnsi="宋体" w:cs="宋体" w:hint="eastAsia"/>
          <w:color w:val="000000"/>
          <w:kern w:val="0"/>
          <w:sz w:val="24"/>
        </w:rPr>
        <w:t>单位：元</w:t>
      </w: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1686"/>
        <w:gridCol w:w="1896"/>
        <w:gridCol w:w="1686"/>
        <w:gridCol w:w="1544"/>
      </w:tblGrid>
      <w:tr w:rsidR="00E73699" w14:paraId="380FBCCD" w14:textId="77777777">
        <w:trPr>
          <w:cantSplit/>
          <w:jc w:val="center"/>
        </w:trPr>
        <w:tc>
          <w:tcPr>
            <w:tcW w:w="194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473779B2" w14:textId="77777777" w:rsidR="00E73699" w:rsidRDefault="00E73699">
            <w:pPr>
              <w:spacing w:line="360" w:lineRule="exact"/>
              <w:jc w:val="center"/>
              <w:rPr>
                <w:rFonts w:ascii="仿宋_GB2312" w:eastAsia="仿宋_GB2312" w:hAnsi="宋体"/>
                <w:sz w:val="24"/>
              </w:rPr>
            </w:pPr>
          </w:p>
          <w:p w14:paraId="36446CE5"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项目</w:t>
            </w:r>
          </w:p>
        </w:tc>
        <w:tc>
          <w:tcPr>
            <w:tcW w:w="358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A124EC0"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本报告期</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2B64197B"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上年同期</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A3255BB" w14:textId="77777777" w:rsidR="00E73699" w:rsidRDefault="00C220E4">
            <w:pPr>
              <w:spacing w:after="120" w:line="360" w:lineRule="exact"/>
              <w:ind w:leftChars="54" w:left="139" w:hangingChars="11" w:hanging="26"/>
              <w:jc w:val="center"/>
              <w:rPr>
                <w:rFonts w:ascii="仿宋_GB2312" w:eastAsia="仿宋_GB2312" w:hAnsi="宋体"/>
                <w:sz w:val="24"/>
              </w:rPr>
            </w:pPr>
            <w:r>
              <w:rPr>
                <w:rFonts w:ascii="仿宋_GB2312" w:eastAsia="仿宋_GB2312" w:hAnsi="宋体" w:hint="eastAsia"/>
                <w:sz w:val="24"/>
              </w:rPr>
              <w:t>修正后的增减变动幅度（％）</w:t>
            </w:r>
          </w:p>
        </w:tc>
      </w:tr>
      <w:tr w:rsidR="00E73699" w14:paraId="658FF365"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ECAE475" w14:textId="77777777" w:rsidR="00E73699" w:rsidRDefault="00E73699">
            <w:pPr>
              <w:widowControl/>
              <w:jc w:val="left"/>
              <w:rPr>
                <w:rFonts w:ascii="仿宋_GB2312" w:eastAsia="仿宋_GB2312" w:hAnsi="宋体"/>
                <w:sz w:val="24"/>
              </w:rPr>
            </w:pPr>
          </w:p>
        </w:tc>
        <w:tc>
          <w:tcPr>
            <w:tcW w:w="1686" w:type="dxa"/>
            <w:tcBorders>
              <w:top w:val="single" w:sz="4" w:space="0" w:color="auto"/>
              <w:left w:val="single" w:sz="4" w:space="0" w:color="auto"/>
              <w:bottom w:val="single" w:sz="4" w:space="0" w:color="auto"/>
              <w:right w:val="single" w:sz="4" w:space="0" w:color="auto"/>
            </w:tcBorders>
            <w:shd w:val="clear" w:color="auto" w:fill="E6E6E6"/>
            <w:vAlign w:val="center"/>
          </w:tcPr>
          <w:p w14:paraId="58AB2A21" w14:textId="77777777" w:rsidR="00E73699" w:rsidRDefault="00C220E4">
            <w:pPr>
              <w:spacing w:after="120" w:line="360" w:lineRule="exact"/>
              <w:jc w:val="center"/>
              <w:rPr>
                <w:rFonts w:ascii="仿宋_GB2312" w:eastAsia="仿宋_GB2312" w:hAnsi="宋体"/>
                <w:sz w:val="24"/>
              </w:rPr>
            </w:pPr>
            <w:r>
              <w:rPr>
                <w:rFonts w:ascii="仿宋_GB2312" w:eastAsia="仿宋_GB2312" w:hAnsi="宋体" w:hint="eastAsia"/>
                <w:sz w:val="24"/>
              </w:rPr>
              <w:t>修正前</w:t>
            </w:r>
          </w:p>
        </w:tc>
        <w:tc>
          <w:tcPr>
            <w:tcW w:w="1896" w:type="dxa"/>
            <w:tcBorders>
              <w:top w:val="single" w:sz="4" w:space="0" w:color="auto"/>
              <w:left w:val="single" w:sz="4" w:space="0" w:color="auto"/>
              <w:bottom w:val="single" w:sz="4" w:space="0" w:color="auto"/>
              <w:right w:val="single" w:sz="4" w:space="0" w:color="auto"/>
            </w:tcBorders>
            <w:shd w:val="clear" w:color="auto" w:fill="E6E6E6"/>
            <w:vAlign w:val="center"/>
          </w:tcPr>
          <w:p w14:paraId="397C14B9" w14:textId="77777777" w:rsidR="00E73699" w:rsidRDefault="00C220E4">
            <w:pPr>
              <w:spacing w:after="120" w:line="360" w:lineRule="exact"/>
              <w:jc w:val="center"/>
              <w:rPr>
                <w:rFonts w:ascii="仿宋_GB2312" w:eastAsia="仿宋_GB2312" w:hAnsi="宋体"/>
                <w:sz w:val="24"/>
              </w:rPr>
            </w:pPr>
            <w:r>
              <w:rPr>
                <w:rFonts w:ascii="仿宋_GB2312" w:eastAsia="仿宋_GB2312" w:hAnsi="宋体" w:hint="eastAsia"/>
                <w:sz w:val="24"/>
              </w:rPr>
              <w:t>修正后</w:t>
            </w:r>
          </w:p>
        </w:tc>
        <w:tc>
          <w:tcPr>
            <w:tcW w:w="0" w:type="auto"/>
            <w:vMerge/>
            <w:tcBorders>
              <w:top w:val="single" w:sz="4" w:space="0" w:color="auto"/>
              <w:left w:val="single" w:sz="4" w:space="0" w:color="auto"/>
              <w:bottom w:val="single" w:sz="4" w:space="0" w:color="auto"/>
              <w:right w:val="single" w:sz="4" w:space="0" w:color="auto"/>
            </w:tcBorders>
            <w:vAlign w:val="center"/>
          </w:tcPr>
          <w:p w14:paraId="6833C3CA" w14:textId="77777777" w:rsidR="00E73699" w:rsidRDefault="00E73699">
            <w:pPr>
              <w:widowControl/>
              <w:jc w:val="left"/>
              <w:rPr>
                <w:rFonts w:ascii="仿宋_GB2312" w:eastAsia="仿宋_GB2312" w:hAnsi="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4EAFA45" w14:textId="77777777" w:rsidR="00E73699" w:rsidRDefault="00E73699">
            <w:pPr>
              <w:widowControl/>
              <w:jc w:val="left"/>
              <w:rPr>
                <w:rFonts w:ascii="仿宋_GB2312" w:eastAsia="仿宋_GB2312" w:hAnsi="宋体"/>
                <w:sz w:val="24"/>
              </w:rPr>
            </w:pPr>
          </w:p>
        </w:tc>
      </w:tr>
      <w:tr w:rsidR="00E73699" w14:paraId="6449BAB0"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5E794AB9"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营业总收入</w:t>
            </w:r>
          </w:p>
        </w:tc>
        <w:tc>
          <w:tcPr>
            <w:tcW w:w="1686" w:type="dxa"/>
            <w:tcBorders>
              <w:top w:val="single" w:sz="4" w:space="0" w:color="auto"/>
              <w:left w:val="single" w:sz="4" w:space="0" w:color="auto"/>
              <w:bottom w:val="single" w:sz="4" w:space="0" w:color="auto"/>
              <w:right w:val="single" w:sz="4" w:space="0" w:color="auto"/>
            </w:tcBorders>
            <w:vAlign w:val="center"/>
          </w:tcPr>
          <w:p w14:paraId="6E347DA9" w14:textId="77777777" w:rsidR="00E73699" w:rsidRDefault="00C220E4">
            <w:pPr>
              <w:spacing w:line="360" w:lineRule="exact"/>
              <w:jc w:val="right"/>
              <w:rPr>
                <w:rFonts w:eastAsia="仿宋_GB2312"/>
                <w:sz w:val="24"/>
              </w:rPr>
            </w:pPr>
            <w:r>
              <w:rPr>
                <w:rFonts w:eastAsia="等线"/>
                <w:color w:val="000000"/>
              </w:rPr>
              <w:t>3,152,663,891.00</w:t>
            </w:r>
          </w:p>
        </w:tc>
        <w:tc>
          <w:tcPr>
            <w:tcW w:w="1896" w:type="dxa"/>
            <w:tcBorders>
              <w:top w:val="single" w:sz="4" w:space="0" w:color="auto"/>
              <w:left w:val="single" w:sz="4" w:space="0" w:color="auto"/>
              <w:bottom w:val="single" w:sz="4" w:space="0" w:color="auto"/>
              <w:right w:val="single" w:sz="4" w:space="0" w:color="auto"/>
            </w:tcBorders>
            <w:vAlign w:val="center"/>
          </w:tcPr>
          <w:p w14:paraId="6EC5B028" w14:textId="77777777" w:rsidR="00E73699" w:rsidRDefault="00C220E4">
            <w:pPr>
              <w:spacing w:line="360" w:lineRule="exact"/>
              <w:jc w:val="right"/>
              <w:rPr>
                <w:rFonts w:eastAsia="等线"/>
                <w:color w:val="000000"/>
              </w:rPr>
            </w:pPr>
            <w:r>
              <w:rPr>
                <w:rFonts w:eastAsia="等线"/>
                <w:color w:val="000000"/>
              </w:rPr>
              <w:t>2,405,293,805.69</w:t>
            </w:r>
          </w:p>
        </w:tc>
        <w:tc>
          <w:tcPr>
            <w:tcW w:w="1686" w:type="dxa"/>
            <w:tcBorders>
              <w:top w:val="single" w:sz="4" w:space="0" w:color="auto"/>
              <w:left w:val="single" w:sz="4" w:space="0" w:color="auto"/>
              <w:bottom w:val="single" w:sz="4" w:space="0" w:color="auto"/>
              <w:right w:val="single" w:sz="4" w:space="0" w:color="auto"/>
            </w:tcBorders>
            <w:vAlign w:val="center"/>
          </w:tcPr>
          <w:p w14:paraId="3103E0CC" w14:textId="77777777" w:rsidR="00E73699" w:rsidRDefault="00C220E4">
            <w:pPr>
              <w:spacing w:line="360" w:lineRule="exact"/>
              <w:jc w:val="right"/>
              <w:rPr>
                <w:rFonts w:eastAsia="仿宋_GB2312"/>
                <w:sz w:val="24"/>
              </w:rPr>
            </w:pPr>
            <w:r>
              <w:rPr>
                <w:rFonts w:eastAsia="等线"/>
                <w:color w:val="000000"/>
              </w:rPr>
              <w:t>3,069,150,858.65</w:t>
            </w:r>
          </w:p>
        </w:tc>
        <w:tc>
          <w:tcPr>
            <w:tcW w:w="1544" w:type="dxa"/>
            <w:tcBorders>
              <w:top w:val="single" w:sz="4" w:space="0" w:color="auto"/>
              <w:left w:val="single" w:sz="4" w:space="0" w:color="auto"/>
              <w:bottom w:val="single" w:sz="4" w:space="0" w:color="auto"/>
              <w:right w:val="single" w:sz="4" w:space="0" w:color="auto"/>
            </w:tcBorders>
            <w:vAlign w:val="center"/>
          </w:tcPr>
          <w:p w14:paraId="7CD3CC18" w14:textId="77777777" w:rsidR="00E73699" w:rsidRDefault="00C220E4">
            <w:pPr>
              <w:spacing w:line="360" w:lineRule="exact"/>
              <w:jc w:val="right"/>
              <w:rPr>
                <w:rFonts w:eastAsia="等线"/>
                <w:color w:val="000000"/>
              </w:rPr>
            </w:pPr>
            <w:r>
              <w:rPr>
                <w:rFonts w:eastAsia="等线"/>
                <w:color w:val="000000"/>
              </w:rPr>
              <w:t>-21.63</w:t>
            </w:r>
          </w:p>
        </w:tc>
      </w:tr>
      <w:tr w:rsidR="00E73699" w14:paraId="7477DF97"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7B8BE972"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营业利润</w:t>
            </w:r>
          </w:p>
        </w:tc>
        <w:tc>
          <w:tcPr>
            <w:tcW w:w="1686" w:type="dxa"/>
            <w:tcBorders>
              <w:top w:val="single" w:sz="4" w:space="0" w:color="auto"/>
              <w:left w:val="single" w:sz="4" w:space="0" w:color="auto"/>
              <w:bottom w:val="single" w:sz="4" w:space="0" w:color="auto"/>
              <w:right w:val="single" w:sz="4" w:space="0" w:color="auto"/>
            </w:tcBorders>
            <w:vAlign w:val="center"/>
          </w:tcPr>
          <w:p w14:paraId="4187AFC1" w14:textId="77777777" w:rsidR="00E73699" w:rsidRDefault="00C220E4">
            <w:pPr>
              <w:spacing w:line="360" w:lineRule="exact"/>
              <w:jc w:val="right"/>
              <w:rPr>
                <w:rFonts w:eastAsia="仿宋_GB2312"/>
                <w:sz w:val="24"/>
              </w:rPr>
            </w:pPr>
            <w:r>
              <w:rPr>
                <w:rFonts w:eastAsia="等线"/>
                <w:color w:val="000000"/>
              </w:rPr>
              <w:t>24,560,403.11</w:t>
            </w:r>
          </w:p>
        </w:tc>
        <w:tc>
          <w:tcPr>
            <w:tcW w:w="1896" w:type="dxa"/>
            <w:tcBorders>
              <w:top w:val="single" w:sz="4" w:space="0" w:color="auto"/>
              <w:left w:val="single" w:sz="4" w:space="0" w:color="auto"/>
              <w:bottom w:val="single" w:sz="4" w:space="0" w:color="auto"/>
              <w:right w:val="single" w:sz="4" w:space="0" w:color="auto"/>
            </w:tcBorders>
            <w:vAlign w:val="center"/>
          </w:tcPr>
          <w:p w14:paraId="0D6E43FA" w14:textId="77777777" w:rsidR="00E73699" w:rsidRDefault="00C220E4">
            <w:pPr>
              <w:spacing w:line="360" w:lineRule="exact"/>
              <w:jc w:val="right"/>
              <w:rPr>
                <w:rFonts w:eastAsia="等线"/>
                <w:color w:val="000000"/>
              </w:rPr>
            </w:pPr>
            <w:r>
              <w:rPr>
                <w:rFonts w:eastAsia="等线"/>
                <w:color w:val="000000"/>
              </w:rPr>
              <w:t>21,080,763.54</w:t>
            </w:r>
          </w:p>
        </w:tc>
        <w:tc>
          <w:tcPr>
            <w:tcW w:w="1686" w:type="dxa"/>
            <w:tcBorders>
              <w:top w:val="single" w:sz="4" w:space="0" w:color="auto"/>
              <w:left w:val="single" w:sz="4" w:space="0" w:color="auto"/>
              <w:bottom w:val="single" w:sz="4" w:space="0" w:color="auto"/>
              <w:right w:val="single" w:sz="4" w:space="0" w:color="auto"/>
            </w:tcBorders>
            <w:vAlign w:val="center"/>
          </w:tcPr>
          <w:p w14:paraId="5A327E86" w14:textId="77777777" w:rsidR="00E73699" w:rsidRDefault="00C220E4">
            <w:pPr>
              <w:spacing w:line="360" w:lineRule="exact"/>
              <w:jc w:val="right"/>
              <w:rPr>
                <w:rFonts w:eastAsia="仿宋_GB2312"/>
                <w:sz w:val="24"/>
              </w:rPr>
            </w:pPr>
            <w:r>
              <w:rPr>
                <w:rFonts w:eastAsia="等线"/>
                <w:color w:val="000000"/>
              </w:rPr>
              <w:t>95,339,304.65</w:t>
            </w:r>
          </w:p>
        </w:tc>
        <w:tc>
          <w:tcPr>
            <w:tcW w:w="1544" w:type="dxa"/>
            <w:tcBorders>
              <w:top w:val="single" w:sz="4" w:space="0" w:color="auto"/>
              <w:left w:val="single" w:sz="4" w:space="0" w:color="auto"/>
              <w:bottom w:val="single" w:sz="4" w:space="0" w:color="auto"/>
              <w:right w:val="single" w:sz="4" w:space="0" w:color="auto"/>
            </w:tcBorders>
            <w:vAlign w:val="center"/>
          </w:tcPr>
          <w:p w14:paraId="5E2CB711" w14:textId="77777777" w:rsidR="00E73699" w:rsidRDefault="00C220E4">
            <w:pPr>
              <w:spacing w:line="360" w:lineRule="exact"/>
              <w:jc w:val="right"/>
              <w:rPr>
                <w:rFonts w:eastAsia="等线"/>
                <w:color w:val="000000"/>
              </w:rPr>
            </w:pPr>
            <w:r>
              <w:rPr>
                <w:rFonts w:eastAsia="等线"/>
                <w:color w:val="000000"/>
              </w:rPr>
              <w:t>-77.89</w:t>
            </w:r>
          </w:p>
        </w:tc>
      </w:tr>
      <w:tr w:rsidR="00E73699" w14:paraId="6D85D611"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35C98A95"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利润总额</w:t>
            </w:r>
          </w:p>
        </w:tc>
        <w:tc>
          <w:tcPr>
            <w:tcW w:w="1686" w:type="dxa"/>
            <w:tcBorders>
              <w:top w:val="single" w:sz="4" w:space="0" w:color="auto"/>
              <w:left w:val="single" w:sz="4" w:space="0" w:color="auto"/>
              <w:bottom w:val="single" w:sz="4" w:space="0" w:color="auto"/>
              <w:right w:val="single" w:sz="4" w:space="0" w:color="auto"/>
            </w:tcBorders>
            <w:vAlign w:val="center"/>
          </w:tcPr>
          <w:p w14:paraId="0FD6512C" w14:textId="77777777" w:rsidR="00E73699" w:rsidRDefault="00C220E4">
            <w:pPr>
              <w:spacing w:line="360" w:lineRule="exact"/>
              <w:jc w:val="right"/>
              <w:rPr>
                <w:rFonts w:eastAsia="仿宋_GB2312"/>
                <w:sz w:val="24"/>
              </w:rPr>
            </w:pPr>
            <w:r>
              <w:rPr>
                <w:rFonts w:eastAsia="等线"/>
                <w:color w:val="000000"/>
              </w:rPr>
              <w:t>23,588,031.95</w:t>
            </w:r>
          </w:p>
        </w:tc>
        <w:tc>
          <w:tcPr>
            <w:tcW w:w="1896" w:type="dxa"/>
            <w:tcBorders>
              <w:top w:val="single" w:sz="4" w:space="0" w:color="auto"/>
              <w:left w:val="single" w:sz="4" w:space="0" w:color="auto"/>
              <w:bottom w:val="single" w:sz="4" w:space="0" w:color="auto"/>
              <w:right w:val="single" w:sz="4" w:space="0" w:color="auto"/>
            </w:tcBorders>
            <w:vAlign w:val="center"/>
          </w:tcPr>
          <w:p w14:paraId="2BF4ACB3" w14:textId="77777777" w:rsidR="00E73699" w:rsidRDefault="00C220E4">
            <w:pPr>
              <w:spacing w:line="360" w:lineRule="exact"/>
              <w:jc w:val="right"/>
              <w:rPr>
                <w:rFonts w:eastAsia="等线"/>
                <w:color w:val="000000"/>
              </w:rPr>
            </w:pPr>
            <w:r>
              <w:rPr>
                <w:rFonts w:eastAsia="等线"/>
                <w:color w:val="000000"/>
              </w:rPr>
              <w:t>20,649,127.89</w:t>
            </w:r>
          </w:p>
        </w:tc>
        <w:tc>
          <w:tcPr>
            <w:tcW w:w="1686" w:type="dxa"/>
            <w:tcBorders>
              <w:top w:val="single" w:sz="4" w:space="0" w:color="auto"/>
              <w:left w:val="single" w:sz="4" w:space="0" w:color="auto"/>
              <w:bottom w:val="single" w:sz="4" w:space="0" w:color="auto"/>
              <w:right w:val="single" w:sz="4" w:space="0" w:color="auto"/>
            </w:tcBorders>
            <w:vAlign w:val="center"/>
          </w:tcPr>
          <w:p w14:paraId="64920CD7" w14:textId="77777777" w:rsidR="00E73699" w:rsidRDefault="00C220E4">
            <w:pPr>
              <w:spacing w:line="360" w:lineRule="exact"/>
              <w:jc w:val="right"/>
              <w:rPr>
                <w:rFonts w:eastAsia="仿宋_GB2312"/>
                <w:sz w:val="24"/>
              </w:rPr>
            </w:pPr>
            <w:r>
              <w:rPr>
                <w:rFonts w:eastAsia="等线"/>
                <w:color w:val="000000"/>
              </w:rPr>
              <w:t>97,397,022.73</w:t>
            </w:r>
          </w:p>
        </w:tc>
        <w:tc>
          <w:tcPr>
            <w:tcW w:w="1544" w:type="dxa"/>
            <w:tcBorders>
              <w:top w:val="single" w:sz="4" w:space="0" w:color="auto"/>
              <w:left w:val="single" w:sz="4" w:space="0" w:color="auto"/>
              <w:bottom w:val="single" w:sz="4" w:space="0" w:color="auto"/>
              <w:right w:val="single" w:sz="4" w:space="0" w:color="auto"/>
            </w:tcBorders>
            <w:vAlign w:val="center"/>
          </w:tcPr>
          <w:p w14:paraId="52038EB0" w14:textId="77777777" w:rsidR="00E73699" w:rsidRDefault="00C220E4">
            <w:pPr>
              <w:spacing w:line="360" w:lineRule="exact"/>
              <w:jc w:val="right"/>
              <w:rPr>
                <w:rFonts w:eastAsia="等线"/>
                <w:color w:val="000000"/>
              </w:rPr>
            </w:pPr>
            <w:r>
              <w:rPr>
                <w:rFonts w:eastAsia="等线"/>
                <w:color w:val="000000"/>
              </w:rPr>
              <w:t>-78.80</w:t>
            </w:r>
          </w:p>
        </w:tc>
      </w:tr>
      <w:tr w:rsidR="00E73699" w14:paraId="0D29BE65"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42724C1A"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归属于母公司所有者的净利润</w:t>
            </w:r>
          </w:p>
        </w:tc>
        <w:tc>
          <w:tcPr>
            <w:tcW w:w="1686" w:type="dxa"/>
            <w:tcBorders>
              <w:top w:val="single" w:sz="4" w:space="0" w:color="auto"/>
              <w:left w:val="single" w:sz="4" w:space="0" w:color="auto"/>
              <w:bottom w:val="single" w:sz="4" w:space="0" w:color="auto"/>
              <w:right w:val="single" w:sz="4" w:space="0" w:color="auto"/>
            </w:tcBorders>
            <w:vAlign w:val="center"/>
          </w:tcPr>
          <w:p w14:paraId="35DE5A16" w14:textId="77777777" w:rsidR="00E73699" w:rsidRDefault="00C220E4">
            <w:pPr>
              <w:spacing w:line="360" w:lineRule="exact"/>
              <w:jc w:val="right"/>
              <w:rPr>
                <w:rFonts w:eastAsia="仿宋_GB2312"/>
                <w:sz w:val="24"/>
              </w:rPr>
            </w:pPr>
            <w:r>
              <w:rPr>
                <w:rFonts w:eastAsia="等线"/>
                <w:color w:val="000000"/>
              </w:rPr>
              <w:t>25,585,607.32</w:t>
            </w:r>
          </w:p>
        </w:tc>
        <w:tc>
          <w:tcPr>
            <w:tcW w:w="1896" w:type="dxa"/>
            <w:tcBorders>
              <w:top w:val="single" w:sz="4" w:space="0" w:color="auto"/>
              <w:left w:val="single" w:sz="4" w:space="0" w:color="auto"/>
              <w:bottom w:val="single" w:sz="4" w:space="0" w:color="auto"/>
              <w:right w:val="single" w:sz="4" w:space="0" w:color="auto"/>
            </w:tcBorders>
            <w:vAlign w:val="center"/>
          </w:tcPr>
          <w:p w14:paraId="2E32D343" w14:textId="77777777" w:rsidR="00E73699" w:rsidRDefault="00C220E4">
            <w:pPr>
              <w:spacing w:line="360" w:lineRule="exact"/>
              <w:jc w:val="right"/>
              <w:rPr>
                <w:rFonts w:eastAsia="等线"/>
                <w:color w:val="000000"/>
              </w:rPr>
            </w:pPr>
            <w:r>
              <w:rPr>
                <w:rFonts w:eastAsia="等线"/>
                <w:color w:val="000000"/>
              </w:rPr>
              <w:t>27,341,325.51</w:t>
            </w:r>
          </w:p>
        </w:tc>
        <w:tc>
          <w:tcPr>
            <w:tcW w:w="1686" w:type="dxa"/>
            <w:tcBorders>
              <w:top w:val="single" w:sz="4" w:space="0" w:color="auto"/>
              <w:left w:val="single" w:sz="4" w:space="0" w:color="auto"/>
              <w:bottom w:val="single" w:sz="4" w:space="0" w:color="auto"/>
              <w:right w:val="single" w:sz="4" w:space="0" w:color="auto"/>
            </w:tcBorders>
            <w:vAlign w:val="center"/>
          </w:tcPr>
          <w:p w14:paraId="6EDF7FF0" w14:textId="77777777" w:rsidR="00E73699" w:rsidRDefault="00C220E4">
            <w:pPr>
              <w:spacing w:line="360" w:lineRule="exact"/>
              <w:jc w:val="right"/>
              <w:rPr>
                <w:rFonts w:eastAsia="仿宋_GB2312"/>
                <w:sz w:val="24"/>
              </w:rPr>
            </w:pPr>
            <w:r>
              <w:rPr>
                <w:rFonts w:eastAsia="等线"/>
                <w:color w:val="000000"/>
              </w:rPr>
              <w:t>100,246,267.87</w:t>
            </w:r>
          </w:p>
        </w:tc>
        <w:tc>
          <w:tcPr>
            <w:tcW w:w="1544" w:type="dxa"/>
            <w:tcBorders>
              <w:top w:val="single" w:sz="4" w:space="0" w:color="auto"/>
              <w:left w:val="single" w:sz="4" w:space="0" w:color="auto"/>
              <w:bottom w:val="single" w:sz="4" w:space="0" w:color="auto"/>
              <w:right w:val="single" w:sz="4" w:space="0" w:color="auto"/>
            </w:tcBorders>
            <w:vAlign w:val="center"/>
          </w:tcPr>
          <w:p w14:paraId="0F3C08C9" w14:textId="77777777" w:rsidR="00E73699" w:rsidRDefault="00C220E4">
            <w:pPr>
              <w:spacing w:line="360" w:lineRule="exact"/>
              <w:jc w:val="right"/>
              <w:rPr>
                <w:rFonts w:eastAsia="等线"/>
                <w:color w:val="000000"/>
              </w:rPr>
            </w:pPr>
            <w:r>
              <w:rPr>
                <w:rFonts w:eastAsia="等线"/>
                <w:color w:val="000000"/>
              </w:rPr>
              <w:t>-72.73</w:t>
            </w:r>
          </w:p>
        </w:tc>
      </w:tr>
      <w:tr w:rsidR="00E73699" w14:paraId="76C701FC"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1579E516"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归属于母公司所有者的扣除非经常性损益的净利润</w:t>
            </w:r>
          </w:p>
        </w:tc>
        <w:tc>
          <w:tcPr>
            <w:tcW w:w="1686" w:type="dxa"/>
            <w:tcBorders>
              <w:top w:val="single" w:sz="4" w:space="0" w:color="auto"/>
              <w:left w:val="single" w:sz="4" w:space="0" w:color="auto"/>
              <w:bottom w:val="single" w:sz="4" w:space="0" w:color="auto"/>
              <w:right w:val="single" w:sz="4" w:space="0" w:color="auto"/>
            </w:tcBorders>
            <w:vAlign w:val="center"/>
          </w:tcPr>
          <w:p w14:paraId="00563FE8" w14:textId="77777777" w:rsidR="00E73699" w:rsidRDefault="00C220E4">
            <w:pPr>
              <w:spacing w:line="360" w:lineRule="exact"/>
              <w:jc w:val="right"/>
              <w:rPr>
                <w:rFonts w:eastAsia="仿宋_GB2312"/>
                <w:sz w:val="24"/>
              </w:rPr>
            </w:pPr>
            <w:r>
              <w:rPr>
                <w:rFonts w:eastAsia="等线"/>
                <w:color w:val="000000"/>
              </w:rPr>
              <w:t>24,410,513.05</w:t>
            </w:r>
          </w:p>
        </w:tc>
        <w:tc>
          <w:tcPr>
            <w:tcW w:w="1896" w:type="dxa"/>
            <w:tcBorders>
              <w:top w:val="single" w:sz="4" w:space="0" w:color="auto"/>
              <w:left w:val="single" w:sz="4" w:space="0" w:color="auto"/>
              <w:bottom w:val="single" w:sz="4" w:space="0" w:color="auto"/>
              <w:right w:val="single" w:sz="4" w:space="0" w:color="auto"/>
            </w:tcBorders>
            <w:vAlign w:val="center"/>
          </w:tcPr>
          <w:p w14:paraId="07DE62A1" w14:textId="77777777" w:rsidR="00E73699" w:rsidRDefault="00C220E4">
            <w:pPr>
              <w:spacing w:line="360" w:lineRule="exact"/>
              <w:jc w:val="right"/>
              <w:rPr>
                <w:rFonts w:eastAsia="等线"/>
                <w:color w:val="000000"/>
              </w:rPr>
            </w:pPr>
            <w:r>
              <w:rPr>
                <w:rFonts w:eastAsia="等线"/>
                <w:color w:val="000000"/>
              </w:rPr>
              <w:t>25,778,815.17</w:t>
            </w:r>
          </w:p>
        </w:tc>
        <w:tc>
          <w:tcPr>
            <w:tcW w:w="1686" w:type="dxa"/>
            <w:tcBorders>
              <w:top w:val="single" w:sz="4" w:space="0" w:color="auto"/>
              <w:left w:val="single" w:sz="4" w:space="0" w:color="auto"/>
              <w:bottom w:val="single" w:sz="4" w:space="0" w:color="auto"/>
              <w:right w:val="single" w:sz="4" w:space="0" w:color="auto"/>
            </w:tcBorders>
            <w:vAlign w:val="center"/>
          </w:tcPr>
          <w:p w14:paraId="797A6891" w14:textId="77777777" w:rsidR="00E73699" w:rsidRDefault="00C220E4">
            <w:pPr>
              <w:spacing w:line="360" w:lineRule="exact"/>
              <w:jc w:val="right"/>
              <w:rPr>
                <w:rFonts w:eastAsia="仿宋_GB2312"/>
                <w:sz w:val="24"/>
              </w:rPr>
            </w:pPr>
            <w:r>
              <w:rPr>
                <w:rFonts w:eastAsia="等线"/>
                <w:color w:val="000000"/>
              </w:rPr>
              <w:t>74,554,501.68</w:t>
            </w:r>
          </w:p>
        </w:tc>
        <w:tc>
          <w:tcPr>
            <w:tcW w:w="1544" w:type="dxa"/>
            <w:tcBorders>
              <w:top w:val="single" w:sz="4" w:space="0" w:color="auto"/>
              <w:left w:val="single" w:sz="4" w:space="0" w:color="auto"/>
              <w:bottom w:val="single" w:sz="4" w:space="0" w:color="auto"/>
              <w:right w:val="single" w:sz="4" w:space="0" w:color="auto"/>
            </w:tcBorders>
            <w:vAlign w:val="center"/>
          </w:tcPr>
          <w:p w14:paraId="680A8617" w14:textId="77777777" w:rsidR="00E73699" w:rsidRDefault="00C220E4">
            <w:pPr>
              <w:spacing w:line="360" w:lineRule="exact"/>
              <w:jc w:val="right"/>
              <w:rPr>
                <w:rFonts w:eastAsia="等线"/>
                <w:color w:val="000000"/>
              </w:rPr>
            </w:pPr>
            <w:r>
              <w:rPr>
                <w:rFonts w:eastAsia="等线"/>
                <w:color w:val="000000"/>
              </w:rPr>
              <w:t>-65.42</w:t>
            </w:r>
          </w:p>
        </w:tc>
      </w:tr>
      <w:tr w:rsidR="00E73699" w14:paraId="2EC0C0B7"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4BA41463"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lastRenderedPageBreak/>
              <w:t>基本每股收益（元）</w:t>
            </w:r>
          </w:p>
        </w:tc>
        <w:tc>
          <w:tcPr>
            <w:tcW w:w="1686" w:type="dxa"/>
            <w:tcBorders>
              <w:top w:val="single" w:sz="4" w:space="0" w:color="auto"/>
              <w:left w:val="single" w:sz="4" w:space="0" w:color="auto"/>
              <w:bottom w:val="single" w:sz="4" w:space="0" w:color="auto"/>
              <w:right w:val="single" w:sz="4" w:space="0" w:color="auto"/>
            </w:tcBorders>
            <w:vAlign w:val="center"/>
          </w:tcPr>
          <w:p w14:paraId="70AEECE8" w14:textId="77777777" w:rsidR="00E73699" w:rsidRDefault="00C220E4">
            <w:pPr>
              <w:spacing w:line="360" w:lineRule="exact"/>
              <w:jc w:val="right"/>
              <w:rPr>
                <w:rFonts w:eastAsia="仿宋_GB2312"/>
                <w:sz w:val="24"/>
              </w:rPr>
            </w:pPr>
            <w:r>
              <w:rPr>
                <w:rFonts w:eastAsia="等线"/>
                <w:color w:val="000000"/>
              </w:rPr>
              <w:t>0.28</w:t>
            </w:r>
          </w:p>
        </w:tc>
        <w:tc>
          <w:tcPr>
            <w:tcW w:w="1896" w:type="dxa"/>
            <w:tcBorders>
              <w:top w:val="single" w:sz="4" w:space="0" w:color="auto"/>
              <w:left w:val="single" w:sz="4" w:space="0" w:color="auto"/>
              <w:bottom w:val="single" w:sz="4" w:space="0" w:color="auto"/>
              <w:right w:val="single" w:sz="4" w:space="0" w:color="auto"/>
            </w:tcBorders>
            <w:vAlign w:val="center"/>
          </w:tcPr>
          <w:p w14:paraId="01C38369" w14:textId="77777777" w:rsidR="00E73699" w:rsidRDefault="00C220E4">
            <w:pPr>
              <w:spacing w:line="360" w:lineRule="exact"/>
              <w:jc w:val="right"/>
              <w:rPr>
                <w:rFonts w:eastAsia="等线"/>
                <w:color w:val="000000"/>
              </w:rPr>
            </w:pPr>
            <w:r>
              <w:rPr>
                <w:rFonts w:eastAsia="等线"/>
                <w:color w:val="000000"/>
              </w:rPr>
              <w:t>0.30</w:t>
            </w:r>
          </w:p>
        </w:tc>
        <w:tc>
          <w:tcPr>
            <w:tcW w:w="1686" w:type="dxa"/>
            <w:tcBorders>
              <w:top w:val="single" w:sz="4" w:space="0" w:color="auto"/>
              <w:left w:val="single" w:sz="4" w:space="0" w:color="auto"/>
              <w:bottom w:val="single" w:sz="4" w:space="0" w:color="auto"/>
              <w:right w:val="single" w:sz="4" w:space="0" w:color="auto"/>
            </w:tcBorders>
            <w:vAlign w:val="center"/>
          </w:tcPr>
          <w:p w14:paraId="449501D3" w14:textId="77777777" w:rsidR="00E73699" w:rsidRDefault="00C220E4">
            <w:pPr>
              <w:spacing w:line="360" w:lineRule="exact"/>
              <w:jc w:val="right"/>
              <w:rPr>
                <w:rFonts w:eastAsia="仿宋_GB2312"/>
                <w:sz w:val="24"/>
              </w:rPr>
            </w:pPr>
            <w:r>
              <w:rPr>
                <w:rFonts w:eastAsia="等线"/>
                <w:color w:val="000000"/>
              </w:rPr>
              <w:t>1.09</w:t>
            </w:r>
          </w:p>
        </w:tc>
        <w:tc>
          <w:tcPr>
            <w:tcW w:w="1544" w:type="dxa"/>
            <w:tcBorders>
              <w:top w:val="single" w:sz="4" w:space="0" w:color="auto"/>
              <w:left w:val="single" w:sz="4" w:space="0" w:color="auto"/>
              <w:bottom w:val="single" w:sz="4" w:space="0" w:color="auto"/>
              <w:right w:val="single" w:sz="4" w:space="0" w:color="auto"/>
            </w:tcBorders>
            <w:vAlign w:val="center"/>
          </w:tcPr>
          <w:p w14:paraId="2373DBB7" w14:textId="77777777" w:rsidR="00E73699" w:rsidRDefault="00C220E4">
            <w:pPr>
              <w:spacing w:line="360" w:lineRule="exact"/>
              <w:jc w:val="right"/>
              <w:rPr>
                <w:rFonts w:eastAsia="等线"/>
                <w:color w:val="000000"/>
              </w:rPr>
            </w:pPr>
            <w:r>
              <w:rPr>
                <w:rFonts w:eastAsia="等线"/>
                <w:color w:val="000000"/>
              </w:rPr>
              <w:t>-72.48</w:t>
            </w:r>
          </w:p>
        </w:tc>
      </w:tr>
      <w:tr w:rsidR="00E73699" w14:paraId="5E4A12C7"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33AE0007"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加权平均净资产收益率</w:t>
            </w:r>
          </w:p>
        </w:tc>
        <w:tc>
          <w:tcPr>
            <w:tcW w:w="1686" w:type="dxa"/>
            <w:tcBorders>
              <w:top w:val="single" w:sz="4" w:space="0" w:color="auto"/>
              <w:left w:val="single" w:sz="4" w:space="0" w:color="auto"/>
              <w:bottom w:val="single" w:sz="4" w:space="0" w:color="auto"/>
              <w:right w:val="single" w:sz="4" w:space="0" w:color="auto"/>
            </w:tcBorders>
            <w:vAlign w:val="center"/>
          </w:tcPr>
          <w:p w14:paraId="3543D453" w14:textId="77777777" w:rsidR="00E73699" w:rsidRDefault="00C220E4">
            <w:pPr>
              <w:spacing w:line="360" w:lineRule="exact"/>
              <w:jc w:val="right"/>
              <w:rPr>
                <w:rFonts w:eastAsia="仿宋_GB2312"/>
                <w:sz w:val="24"/>
              </w:rPr>
            </w:pPr>
            <w:r>
              <w:rPr>
                <w:rFonts w:eastAsia="等线"/>
                <w:color w:val="000000"/>
              </w:rPr>
              <w:t>2.93</w:t>
            </w:r>
          </w:p>
        </w:tc>
        <w:tc>
          <w:tcPr>
            <w:tcW w:w="1896" w:type="dxa"/>
            <w:tcBorders>
              <w:top w:val="single" w:sz="4" w:space="0" w:color="auto"/>
              <w:left w:val="single" w:sz="4" w:space="0" w:color="auto"/>
              <w:bottom w:val="single" w:sz="4" w:space="0" w:color="auto"/>
              <w:right w:val="single" w:sz="4" w:space="0" w:color="auto"/>
            </w:tcBorders>
            <w:vAlign w:val="center"/>
          </w:tcPr>
          <w:p w14:paraId="06354E72" w14:textId="77777777" w:rsidR="00E73699" w:rsidRDefault="00C220E4">
            <w:pPr>
              <w:spacing w:line="360" w:lineRule="exact"/>
              <w:jc w:val="right"/>
              <w:rPr>
                <w:rFonts w:eastAsia="等线"/>
                <w:color w:val="000000"/>
              </w:rPr>
            </w:pPr>
            <w:r>
              <w:rPr>
                <w:rFonts w:eastAsia="等线"/>
                <w:color w:val="000000"/>
              </w:rPr>
              <w:t>3.12</w:t>
            </w:r>
          </w:p>
        </w:tc>
        <w:tc>
          <w:tcPr>
            <w:tcW w:w="1686" w:type="dxa"/>
            <w:tcBorders>
              <w:top w:val="single" w:sz="4" w:space="0" w:color="auto"/>
              <w:left w:val="single" w:sz="4" w:space="0" w:color="auto"/>
              <w:bottom w:val="single" w:sz="4" w:space="0" w:color="auto"/>
              <w:right w:val="single" w:sz="4" w:space="0" w:color="auto"/>
            </w:tcBorders>
            <w:vAlign w:val="center"/>
          </w:tcPr>
          <w:p w14:paraId="460F1A2B" w14:textId="77777777" w:rsidR="00E73699" w:rsidRDefault="00C220E4">
            <w:pPr>
              <w:spacing w:line="360" w:lineRule="exact"/>
              <w:jc w:val="right"/>
              <w:rPr>
                <w:rFonts w:eastAsia="仿宋_GB2312"/>
                <w:sz w:val="24"/>
              </w:rPr>
            </w:pPr>
            <w:r>
              <w:rPr>
                <w:rFonts w:eastAsia="等线"/>
                <w:color w:val="000000"/>
              </w:rPr>
              <w:t>12.61</w:t>
            </w:r>
          </w:p>
        </w:tc>
        <w:tc>
          <w:tcPr>
            <w:tcW w:w="1544" w:type="dxa"/>
            <w:tcBorders>
              <w:top w:val="single" w:sz="4" w:space="0" w:color="auto"/>
              <w:left w:val="single" w:sz="4" w:space="0" w:color="auto"/>
              <w:bottom w:val="single" w:sz="4" w:space="0" w:color="auto"/>
              <w:right w:val="single" w:sz="4" w:space="0" w:color="auto"/>
            </w:tcBorders>
            <w:vAlign w:val="center"/>
          </w:tcPr>
          <w:p w14:paraId="4C6BCAA6" w14:textId="77777777" w:rsidR="00E73699" w:rsidRDefault="00C220E4">
            <w:pPr>
              <w:spacing w:line="360" w:lineRule="exact"/>
              <w:jc w:val="right"/>
              <w:rPr>
                <w:rFonts w:eastAsia="等线"/>
                <w:color w:val="000000"/>
              </w:rPr>
            </w:pPr>
            <w:r>
              <w:rPr>
                <w:rFonts w:eastAsia="等线"/>
                <w:color w:val="000000"/>
              </w:rPr>
              <w:t>-75.26</w:t>
            </w:r>
          </w:p>
        </w:tc>
      </w:tr>
      <w:tr w:rsidR="00E73699" w14:paraId="40DD63D3" w14:textId="77777777">
        <w:trPr>
          <w:cantSplit/>
          <w:jc w:val="center"/>
        </w:trPr>
        <w:tc>
          <w:tcPr>
            <w:tcW w:w="1949"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5ABF3947" w14:textId="77777777" w:rsidR="00E73699" w:rsidRDefault="00E73699">
            <w:pPr>
              <w:spacing w:line="360" w:lineRule="exact"/>
              <w:jc w:val="center"/>
              <w:rPr>
                <w:rFonts w:ascii="仿宋_GB2312" w:eastAsia="仿宋_GB2312" w:hAnsi="宋体"/>
                <w:sz w:val="24"/>
              </w:rPr>
            </w:pPr>
          </w:p>
        </w:tc>
        <w:tc>
          <w:tcPr>
            <w:tcW w:w="358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5054297" w14:textId="77777777" w:rsidR="00E73699" w:rsidRDefault="00C220E4">
            <w:pPr>
              <w:spacing w:line="360" w:lineRule="exact"/>
              <w:jc w:val="center"/>
              <w:rPr>
                <w:rFonts w:eastAsia="仿宋_GB2312"/>
                <w:sz w:val="24"/>
              </w:rPr>
            </w:pPr>
            <w:r>
              <w:rPr>
                <w:rFonts w:eastAsia="仿宋_GB2312"/>
                <w:sz w:val="24"/>
              </w:rPr>
              <w:t>本报告期末</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65D886FA" w14:textId="77777777" w:rsidR="00E73699" w:rsidRDefault="00C220E4">
            <w:pPr>
              <w:spacing w:after="120" w:line="360" w:lineRule="exact"/>
              <w:ind w:leftChars="-21" w:left="167" w:hangingChars="88" w:hanging="211"/>
              <w:jc w:val="center"/>
              <w:rPr>
                <w:rFonts w:eastAsia="仿宋_GB2312"/>
                <w:sz w:val="24"/>
              </w:rPr>
            </w:pPr>
            <w:r>
              <w:rPr>
                <w:rFonts w:eastAsia="仿宋_GB2312"/>
                <w:sz w:val="24"/>
              </w:rPr>
              <w:t>本报告期初</w:t>
            </w:r>
          </w:p>
        </w:tc>
        <w:tc>
          <w:tcPr>
            <w:tcW w:w="1544"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3EBF02DB" w14:textId="77777777" w:rsidR="00E73699" w:rsidRDefault="00C220E4">
            <w:pPr>
              <w:spacing w:after="120" w:line="360" w:lineRule="exact"/>
              <w:ind w:leftChars="55" w:left="115" w:firstLineChars="23" w:firstLine="55"/>
              <w:jc w:val="center"/>
              <w:rPr>
                <w:rFonts w:eastAsia="仿宋_GB2312"/>
                <w:sz w:val="24"/>
              </w:rPr>
            </w:pPr>
            <w:r>
              <w:rPr>
                <w:rFonts w:eastAsia="仿宋_GB2312"/>
                <w:sz w:val="24"/>
              </w:rPr>
              <w:t>修正后的增减变动幅度（％）</w:t>
            </w:r>
          </w:p>
        </w:tc>
      </w:tr>
      <w:tr w:rsidR="00E73699" w14:paraId="411F0BF7" w14:textId="7777777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84B6E72" w14:textId="77777777" w:rsidR="00E73699" w:rsidRDefault="00E73699">
            <w:pPr>
              <w:widowControl/>
              <w:jc w:val="left"/>
              <w:rPr>
                <w:rFonts w:ascii="仿宋_GB2312" w:eastAsia="仿宋_GB2312" w:hAnsi="宋体"/>
                <w:sz w:val="24"/>
              </w:rPr>
            </w:pPr>
          </w:p>
        </w:tc>
        <w:tc>
          <w:tcPr>
            <w:tcW w:w="1686" w:type="dxa"/>
            <w:tcBorders>
              <w:top w:val="single" w:sz="4" w:space="0" w:color="auto"/>
              <w:left w:val="single" w:sz="4" w:space="0" w:color="auto"/>
              <w:bottom w:val="single" w:sz="4" w:space="0" w:color="auto"/>
              <w:right w:val="single" w:sz="4" w:space="0" w:color="auto"/>
            </w:tcBorders>
            <w:shd w:val="clear" w:color="auto" w:fill="E6E6E6"/>
            <w:vAlign w:val="center"/>
          </w:tcPr>
          <w:p w14:paraId="50D8C841" w14:textId="77777777" w:rsidR="00E73699" w:rsidRDefault="00C220E4">
            <w:pPr>
              <w:spacing w:line="360" w:lineRule="exact"/>
              <w:jc w:val="center"/>
              <w:rPr>
                <w:rFonts w:eastAsia="仿宋_GB2312"/>
                <w:sz w:val="24"/>
              </w:rPr>
            </w:pPr>
            <w:r>
              <w:rPr>
                <w:rFonts w:eastAsia="仿宋_GB2312"/>
                <w:sz w:val="24"/>
              </w:rPr>
              <w:t>修正前</w:t>
            </w:r>
          </w:p>
        </w:tc>
        <w:tc>
          <w:tcPr>
            <w:tcW w:w="1896" w:type="dxa"/>
            <w:tcBorders>
              <w:top w:val="single" w:sz="4" w:space="0" w:color="auto"/>
              <w:left w:val="single" w:sz="4" w:space="0" w:color="auto"/>
              <w:bottom w:val="single" w:sz="4" w:space="0" w:color="auto"/>
              <w:right w:val="single" w:sz="4" w:space="0" w:color="auto"/>
            </w:tcBorders>
            <w:shd w:val="clear" w:color="auto" w:fill="E6E6E6"/>
            <w:vAlign w:val="center"/>
          </w:tcPr>
          <w:p w14:paraId="27875256" w14:textId="77777777" w:rsidR="00E73699" w:rsidRDefault="00C220E4">
            <w:pPr>
              <w:spacing w:line="360" w:lineRule="exact"/>
              <w:jc w:val="center"/>
              <w:rPr>
                <w:rFonts w:eastAsia="仿宋_GB2312"/>
                <w:sz w:val="24"/>
              </w:rPr>
            </w:pPr>
            <w:r>
              <w:rPr>
                <w:rFonts w:eastAsia="仿宋_GB2312"/>
                <w:sz w:val="24"/>
              </w:rPr>
              <w:t>修正后</w:t>
            </w:r>
          </w:p>
        </w:tc>
        <w:tc>
          <w:tcPr>
            <w:tcW w:w="0" w:type="auto"/>
            <w:vMerge/>
            <w:tcBorders>
              <w:top w:val="single" w:sz="4" w:space="0" w:color="auto"/>
              <w:left w:val="single" w:sz="4" w:space="0" w:color="auto"/>
              <w:bottom w:val="single" w:sz="4" w:space="0" w:color="auto"/>
              <w:right w:val="single" w:sz="4" w:space="0" w:color="auto"/>
            </w:tcBorders>
            <w:vAlign w:val="center"/>
          </w:tcPr>
          <w:p w14:paraId="0D6E763A" w14:textId="77777777" w:rsidR="00E73699" w:rsidRDefault="00E73699">
            <w:pPr>
              <w:widowControl/>
              <w:jc w:val="left"/>
              <w:rPr>
                <w:rFonts w:eastAsia="仿宋_GB2312"/>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BA3F66" w14:textId="77777777" w:rsidR="00E73699" w:rsidRDefault="00E73699">
            <w:pPr>
              <w:widowControl/>
              <w:jc w:val="left"/>
              <w:rPr>
                <w:rFonts w:eastAsia="仿宋_GB2312"/>
                <w:sz w:val="24"/>
              </w:rPr>
            </w:pPr>
          </w:p>
        </w:tc>
      </w:tr>
      <w:tr w:rsidR="00E73699" w14:paraId="3A2E781F"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5F1AC963"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总资产</w:t>
            </w:r>
          </w:p>
        </w:tc>
        <w:tc>
          <w:tcPr>
            <w:tcW w:w="1686" w:type="dxa"/>
            <w:tcBorders>
              <w:top w:val="single" w:sz="4" w:space="0" w:color="auto"/>
              <w:left w:val="single" w:sz="4" w:space="0" w:color="auto"/>
              <w:bottom w:val="single" w:sz="4" w:space="0" w:color="auto"/>
              <w:right w:val="single" w:sz="4" w:space="0" w:color="auto"/>
            </w:tcBorders>
            <w:vAlign w:val="center"/>
          </w:tcPr>
          <w:p w14:paraId="21ACBFD2" w14:textId="77777777" w:rsidR="00E73699" w:rsidRDefault="00C220E4">
            <w:pPr>
              <w:spacing w:line="360" w:lineRule="exact"/>
              <w:jc w:val="right"/>
              <w:rPr>
                <w:rFonts w:eastAsia="仿宋_GB2312"/>
                <w:sz w:val="24"/>
              </w:rPr>
            </w:pPr>
            <w:r>
              <w:rPr>
                <w:rFonts w:eastAsia="等线"/>
                <w:color w:val="000000"/>
              </w:rPr>
              <w:t>2,578,337,249.83</w:t>
            </w:r>
          </w:p>
        </w:tc>
        <w:tc>
          <w:tcPr>
            <w:tcW w:w="1896" w:type="dxa"/>
            <w:tcBorders>
              <w:top w:val="single" w:sz="4" w:space="0" w:color="auto"/>
              <w:left w:val="single" w:sz="4" w:space="0" w:color="auto"/>
              <w:bottom w:val="single" w:sz="4" w:space="0" w:color="auto"/>
              <w:right w:val="single" w:sz="4" w:space="0" w:color="auto"/>
            </w:tcBorders>
            <w:vAlign w:val="center"/>
          </w:tcPr>
          <w:p w14:paraId="7B47A17E" w14:textId="77777777" w:rsidR="00E73699" w:rsidRDefault="00C220E4">
            <w:pPr>
              <w:spacing w:line="360" w:lineRule="exact"/>
              <w:jc w:val="right"/>
              <w:rPr>
                <w:rFonts w:eastAsia="等线"/>
                <w:color w:val="000000"/>
              </w:rPr>
            </w:pPr>
            <w:r>
              <w:rPr>
                <w:rFonts w:eastAsia="等线"/>
                <w:color w:val="000000"/>
              </w:rPr>
              <w:t>2,506,231,548.18</w:t>
            </w:r>
          </w:p>
        </w:tc>
        <w:tc>
          <w:tcPr>
            <w:tcW w:w="1686" w:type="dxa"/>
            <w:tcBorders>
              <w:top w:val="single" w:sz="4" w:space="0" w:color="auto"/>
              <w:left w:val="single" w:sz="4" w:space="0" w:color="auto"/>
              <w:bottom w:val="single" w:sz="4" w:space="0" w:color="auto"/>
              <w:right w:val="single" w:sz="4" w:space="0" w:color="auto"/>
            </w:tcBorders>
            <w:vAlign w:val="center"/>
          </w:tcPr>
          <w:p w14:paraId="060B668C" w14:textId="77777777" w:rsidR="00E73699" w:rsidRDefault="00C220E4">
            <w:pPr>
              <w:spacing w:line="360" w:lineRule="exact"/>
              <w:jc w:val="right"/>
              <w:rPr>
                <w:rFonts w:eastAsia="仿宋_GB2312"/>
                <w:sz w:val="24"/>
              </w:rPr>
            </w:pPr>
            <w:r>
              <w:rPr>
                <w:rFonts w:eastAsia="等线"/>
                <w:color w:val="000000"/>
              </w:rPr>
              <w:t>1,774,025,769.80</w:t>
            </w:r>
          </w:p>
        </w:tc>
        <w:tc>
          <w:tcPr>
            <w:tcW w:w="1544" w:type="dxa"/>
            <w:tcBorders>
              <w:top w:val="single" w:sz="4" w:space="0" w:color="auto"/>
              <w:left w:val="single" w:sz="4" w:space="0" w:color="auto"/>
              <w:bottom w:val="single" w:sz="4" w:space="0" w:color="auto"/>
              <w:right w:val="single" w:sz="4" w:space="0" w:color="auto"/>
            </w:tcBorders>
            <w:vAlign w:val="center"/>
          </w:tcPr>
          <w:p w14:paraId="7E69C16D" w14:textId="77777777" w:rsidR="00E73699" w:rsidRDefault="00C220E4">
            <w:pPr>
              <w:spacing w:line="360" w:lineRule="exact"/>
              <w:jc w:val="right"/>
              <w:rPr>
                <w:rFonts w:eastAsia="等线"/>
                <w:color w:val="000000"/>
              </w:rPr>
            </w:pPr>
            <w:r>
              <w:rPr>
                <w:rFonts w:eastAsia="等线"/>
                <w:color w:val="000000"/>
              </w:rPr>
              <w:t>41.27</w:t>
            </w:r>
          </w:p>
        </w:tc>
      </w:tr>
      <w:tr w:rsidR="00E73699" w14:paraId="4BB19F0B"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23C30B1D"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归属于母公司的所有者权益</w:t>
            </w:r>
          </w:p>
        </w:tc>
        <w:tc>
          <w:tcPr>
            <w:tcW w:w="1686" w:type="dxa"/>
            <w:tcBorders>
              <w:top w:val="single" w:sz="4" w:space="0" w:color="auto"/>
              <w:left w:val="single" w:sz="4" w:space="0" w:color="auto"/>
              <w:bottom w:val="single" w:sz="4" w:space="0" w:color="auto"/>
              <w:right w:val="single" w:sz="4" w:space="0" w:color="auto"/>
            </w:tcBorders>
            <w:vAlign w:val="center"/>
          </w:tcPr>
          <w:p w14:paraId="0C8E26D0" w14:textId="77777777" w:rsidR="00E73699" w:rsidRDefault="00C220E4">
            <w:pPr>
              <w:spacing w:line="360" w:lineRule="exact"/>
              <w:jc w:val="right"/>
              <w:rPr>
                <w:rFonts w:eastAsia="仿宋_GB2312"/>
                <w:sz w:val="24"/>
              </w:rPr>
            </w:pPr>
            <w:r>
              <w:rPr>
                <w:rFonts w:eastAsia="等线"/>
                <w:color w:val="000000"/>
              </w:rPr>
              <w:t>898,793,900.51</w:t>
            </w:r>
          </w:p>
        </w:tc>
        <w:tc>
          <w:tcPr>
            <w:tcW w:w="1896" w:type="dxa"/>
            <w:tcBorders>
              <w:top w:val="single" w:sz="4" w:space="0" w:color="auto"/>
              <w:left w:val="single" w:sz="4" w:space="0" w:color="auto"/>
              <w:bottom w:val="single" w:sz="4" w:space="0" w:color="auto"/>
              <w:right w:val="single" w:sz="4" w:space="0" w:color="auto"/>
            </w:tcBorders>
            <w:vAlign w:val="center"/>
          </w:tcPr>
          <w:p w14:paraId="4473B3C8" w14:textId="77777777" w:rsidR="00E73699" w:rsidRDefault="00C220E4">
            <w:pPr>
              <w:spacing w:line="360" w:lineRule="exact"/>
              <w:jc w:val="right"/>
              <w:rPr>
                <w:rFonts w:eastAsia="等线"/>
                <w:color w:val="000000"/>
              </w:rPr>
            </w:pPr>
            <w:r>
              <w:rPr>
                <w:rFonts w:eastAsia="等线"/>
                <w:color w:val="000000"/>
              </w:rPr>
              <w:t>897,222,117.03</w:t>
            </w:r>
          </w:p>
        </w:tc>
        <w:tc>
          <w:tcPr>
            <w:tcW w:w="1686" w:type="dxa"/>
            <w:tcBorders>
              <w:top w:val="single" w:sz="4" w:space="0" w:color="auto"/>
              <w:left w:val="single" w:sz="4" w:space="0" w:color="auto"/>
              <w:bottom w:val="single" w:sz="4" w:space="0" w:color="auto"/>
              <w:right w:val="single" w:sz="4" w:space="0" w:color="auto"/>
            </w:tcBorders>
            <w:vAlign w:val="center"/>
          </w:tcPr>
          <w:p w14:paraId="25C4DEAB" w14:textId="77777777" w:rsidR="00E73699" w:rsidRDefault="00C220E4">
            <w:pPr>
              <w:spacing w:line="360" w:lineRule="exact"/>
              <w:jc w:val="right"/>
              <w:rPr>
                <w:rFonts w:eastAsia="仿宋_GB2312"/>
                <w:sz w:val="24"/>
              </w:rPr>
            </w:pPr>
            <w:r>
              <w:rPr>
                <w:rFonts w:eastAsia="等线"/>
                <w:color w:val="000000"/>
              </w:rPr>
              <w:t>855,226,154.28</w:t>
            </w:r>
          </w:p>
        </w:tc>
        <w:tc>
          <w:tcPr>
            <w:tcW w:w="1544" w:type="dxa"/>
            <w:tcBorders>
              <w:top w:val="single" w:sz="4" w:space="0" w:color="auto"/>
              <w:left w:val="single" w:sz="4" w:space="0" w:color="auto"/>
              <w:bottom w:val="single" w:sz="4" w:space="0" w:color="auto"/>
              <w:right w:val="single" w:sz="4" w:space="0" w:color="auto"/>
            </w:tcBorders>
            <w:vAlign w:val="center"/>
          </w:tcPr>
          <w:p w14:paraId="0C9F05E3" w14:textId="77777777" w:rsidR="00E73699" w:rsidRDefault="00C220E4">
            <w:pPr>
              <w:spacing w:line="360" w:lineRule="exact"/>
              <w:jc w:val="right"/>
              <w:rPr>
                <w:rFonts w:eastAsia="等线"/>
                <w:color w:val="000000"/>
              </w:rPr>
            </w:pPr>
            <w:r>
              <w:rPr>
                <w:rFonts w:eastAsia="等线"/>
                <w:color w:val="000000"/>
              </w:rPr>
              <w:t>4.91</w:t>
            </w:r>
          </w:p>
        </w:tc>
      </w:tr>
      <w:tr w:rsidR="00E73699" w14:paraId="55916516"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782F5112"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股本</w:t>
            </w:r>
          </w:p>
        </w:tc>
        <w:tc>
          <w:tcPr>
            <w:tcW w:w="1686" w:type="dxa"/>
            <w:tcBorders>
              <w:top w:val="single" w:sz="4" w:space="0" w:color="auto"/>
              <w:left w:val="single" w:sz="4" w:space="0" w:color="auto"/>
              <w:bottom w:val="single" w:sz="4" w:space="0" w:color="auto"/>
              <w:right w:val="single" w:sz="4" w:space="0" w:color="auto"/>
            </w:tcBorders>
            <w:vAlign w:val="center"/>
          </w:tcPr>
          <w:p w14:paraId="4A4604D8" w14:textId="77777777" w:rsidR="00E73699" w:rsidRDefault="00C220E4">
            <w:pPr>
              <w:spacing w:line="360" w:lineRule="exact"/>
              <w:jc w:val="right"/>
              <w:rPr>
                <w:rFonts w:eastAsia="仿宋_GB2312"/>
                <w:sz w:val="24"/>
              </w:rPr>
            </w:pPr>
            <w:r>
              <w:rPr>
                <w:rFonts w:eastAsia="等线"/>
                <w:color w:val="000000"/>
              </w:rPr>
              <w:t>92,908,820.00</w:t>
            </w:r>
          </w:p>
        </w:tc>
        <w:tc>
          <w:tcPr>
            <w:tcW w:w="1896" w:type="dxa"/>
            <w:tcBorders>
              <w:top w:val="single" w:sz="4" w:space="0" w:color="auto"/>
              <w:left w:val="single" w:sz="4" w:space="0" w:color="auto"/>
              <w:bottom w:val="single" w:sz="4" w:space="0" w:color="auto"/>
              <w:right w:val="single" w:sz="4" w:space="0" w:color="auto"/>
            </w:tcBorders>
            <w:vAlign w:val="center"/>
          </w:tcPr>
          <w:p w14:paraId="7B349C1F" w14:textId="77777777" w:rsidR="00E73699" w:rsidRDefault="00C220E4">
            <w:pPr>
              <w:spacing w:line="360" w:lineRule="exact"/>
              <w:jc w:val="right"/>
              <w:rPr>
                <w:rFonts w:eastAsia="等线"/>
                <w:color w:val="000000"/>
              </w:rPr>
            </w:pPr>
            <w:r>
              <w:rPr>
                <w:rFonts w:eastAsia="等线"/>
                <w:color w:val="000000"/>
              </w:rPr>
              <w:t>92,908,820.00</w:t>
            </w:r>
          </w:p>
        </w:tc>
        <w:tc>
          <w:tcPr>
            <w:tcW w:w="1686" w:type="dxa"/>
            <w:tcBorders>
              <w:top w:val="single" w:sz="4" w:space="0" w:color="auto"/>
              <w:left w:val="single" w:sz="4" w:space="0" w:color="auto"/>
              <w:bottom w:val="single" w:sz="4" w:space="0" w:color="auto"/>
              <w:right w:val="single" w:sz="4" w:space="0" w:color="auto"/>
            </w:tcBorders>
            <w:vAlign w:val="center"/>
          </w:tcPr>
          <w:p w14:paraId="2C56404F" w14:textId="77777777" w:rsidR="00E73699" w:rsidRDefault="00C220E4">
            <w:pPr>
              <w:spacing w:line="360" w:lineRule="exact"/>
              <w:jc w:val="right"/>
              <w:rPr>
                <w:rFonts w:eastAsia="仿宋_GB2312"/>
                <w:sz w:val="24"/>
              </w:rPr>
            </w:pPr>
            <w:r>
              <w:rPr>
                <w:rFonts w:eastAsia="等线"/>
                <w:color w:val="000000"/>
              </w:rPr>
              <w:t>91,994,495.00</w:t>
            </w:r>
          </w:p>
        </w:tc>
        <w:tc>
          <w:tcPr>
            <w:tcW w:w="1544" w:type="dxa"/>
            <w:tcBorders>
              <w:top w:val="single" w:sz="4" w:space="0" w:color="auto"/>
              <w:left w:val="single" w:sz="4" w:space="0" w:color="auto"/>
              <w:bottom w:val="single" w:sz="4" w:space="0" w:color="auto"/>
              <w:right w:val="single" w:sz="4" w:space="0" w:color="auto"/>
            </w:tcBorders>
            <w:vAlign w:val="center"/>
          </w:tcPr>
          <w:p w14:paraId="03EDD1AC" w14:textId="77777777" w:rsidR="00E73699" w:rsidRDefault="00C220E4">
            <w:pPr>
              <w:spacing w:line="360" w:lineRule="exact"/>
              <w:jc w:val="right"/>
              <w:rPr>
                <w:rFonts w:eastAsia="等线"/>
                <w:color w:val="000000"/>
              </w:rPr>
            </w:pPr>
            <w:r>
              <w:rPr>
                <w:rFonts w:eastAsia="等线"/>
                <w:color w:val="000000"/>
              </w:rPr>
              <w:t>0.99</w:t>
            </w:r>
          </w:p>
        </w:tc>
      </w:tr>
      <w:tr w:rsidR="00E73699" w14:paraId="2B753269" w14:textId="77777777">
        <w:trPr>
          <w:jc w:val="center"/>
        </w:trPr>
        <w:tc>
          <w:tcPr>
            <w:tcW w:w="1949" w:type="dxa"/>
            <w:tcBorders>
              <w:top w:val="single" w:sz="4" w:space="0" w:color="auto"/>
              <w:left w:val="single" w:sz="4" w:space="0" w:color="auto"/>
              <w:bottom w:val="single" w:sz="4" w:space="0" w:color="auto"/>
              <w:right w:val="single" w:sz="4" w:space="0" w:color="auto"/>
            </w:tcBorders>
            <w:shd w:val="clear" w:color="auto" w:fill="E6E6E6"/>
            <w:vAlign w:val="center"/>
          </w:tcPr>
          <w:p w14:paraId="45DFE046" w14:textId="77777777" w:rsidR="00E73699" w:rsidRDefault="00C220E4">
            <w:pPr>
              <w:spacing w:line="360" w:lineRule="exact"/>
              <w:jc w:val="center"/>
              <w:rPr>
                <w:rFonts w:ascii="仿宋_GB2312" w:eastAsia="仿宋_GB2312" w:hAnsi="宋体"/>
                <w:sz w:val="24"/>
              </w:rPr>
            </w:pPr>
            <w:r>
              <w:rPr>
                <w:rFonts w:ascii="仿宋_GB2312" w:eastAsia="仿宋_GB2312" w:hAnsi="宋体" w:hint="eastAsia"/>
                <w:sz w:val="24"/>
              </w:rPr>
              <w:t>归属于母公司所有者的每股净资产（元）</w:t>
            </w:r>
          </w:p>
        </w:tc>
        <w:tc>
          <w:tcPr>
            <w:tcW w:w="1686" w:type="dxa"/>
            <w:tcBorders>
              <w:top w:val="single" w:sz="4" w:space="0" w:color="auto"/>
              <w:left w:val="single" w:sz="4" w:space="0" w:color="auto"/>
              <w:bottom w:val="single" w:sz="4" w:space="0" w:color="auto"/>
              <w:right w:val="single" w:sz="4" w:space="0" w:color="auto"/>
            </w:tcBorders>
            <w:vAlign w:val="center"/>
          </w:tcPr>
          <w:p w14:paraId="38ABAAC2" w14:textId="77777777" w:rsidR="00E73699" w:rsidRDefault="00C220E4">
            <w:pPr>
              <w:spacing w:line="360" w:lineRule="exact"/>
              <w:jc w:val="right"/>
              <w:rPr>
                <w:rFonts w:eastAsia="仿宋_GB2312"/>
                <w:sz w:val="24"/>
              </w:rPr>
            </w:pPr>
            <w:r>
              <w:rPr>
                <w:rFonts w:eastAsia="等线"/>
                <w:color w:val="000000"/>
              </w:rPr>
              <w:t>9.67</w:t>
            </w:r>
          </w:p>
        </w:tc>
        <w:tc>
          <w:tcPr>
            <w:tcW w:w="1896" w:type="dxa"/>
            <w:tcBorders>
              <w:top w:val="single" w:sz="4" w:space="0" w:color="auto"/>
              <w:left w:val="single" w:sz="4" w:space="0" w:color="auto"/>
              <w:bottom w:val="single" w:sz="4" w:space="0" w:color="auto"/>
              <w:right w:val="single" w:sz="4" w:space="0" w:color="auto"/>
            </w:tcBorders>
            <w:vAlign w:val="center"/>
          </w:tcPr>
          <w:p w14:paraId="2CC29956" w14:textId="77777777" w:rsidR="00E73699" w:rsidRDefault="00C220E4">
            <w:pPr>
              <w:spacing w:line="360" w:lineRule="exact"/>
              <w:jc w:val="right"/>
              <w:rPr>
                <w:rFonts w:eastAsia="等线"/>
                <w:color w:val="000000"/>
              </w:rPr>
            </w:pPr>
            <w:r>
              <w:rPr>
                <w:rFonts w:eastAsia="等线"/>
                <w:color w:val="000000"/>
              </w:rPr>
              <w:t>9.66</w:t>
            </w:r>
          </w:p>
        </w:tc>
        <w:tc>
          <w:tcPr>
            <w:tcW w:w="1686" w:type="dxa"/>
            <w:tcBorders>
              <w:top w:val="single" w:sz="4" w:space="0" w:color="auto"/>
              <w:left w:val="single" w:sz="4" w:space="0" w:color="auto"/>
              <w:bottom w:val="single" w:sz="4" w:space="0" w:color="auto"/>
              <w:right w:val="single" w:sz="4" w:space="0" w:color="auto"/>
            </w:tcBorders>
            <w:vAlign w:val="center"/>
          </w:tcPr>
          <w:p w14:paraId="40814F4F" w14:textId="77777777" w:rsidR="00E73699" w:rsidRDefault="00C220E4">
            <w:pPr>
              <w:spacing w:line="360" w:lineRule="exact"/>
              <w:jc w:val="right"/>
              <w:rPr>
                <w:rFonts w:eastAsia="仿宋_GB2312"/>
                <w:sz w:val="24"/>
              </w:rPr>
            </w:pPr>
            <w:r>
              <w:rPr>
                <w:rFonts w:eastAsia="等线"/>
                <w:color w:val="000000"/>
              </w:rPr>
              <w:t>9.30</w:t>
            </w:r>
          </w:p>
        </w:tc>
        <w:tc>
          <w:tcPr>
            <w:tcW w:w="1544" w:type="dxa"/>
            <w:tcBorders>
              <w:top w:val="single" w:sz="4" w:space="0" w:color="auto"/>
              <w:left w:val="single" w:sz="4" w:space="0" w:color="auto"/>
              <w:bottom w:val="single" w:sz="4" w:space="0" w:color="auto"/>
              <w:right w:val="single" w:sz="4" w:space="0" w:color="auto"/>
            </w:tcBorders>
            <w:vAlign w:val="center"/>
          </w:tcPr>
          <w:p w14:paraId="3BCC6616" w14:textId="77777777" w:rsidR="00E73699" w:rsidRDefault="00C220E4">
            <w:pPr>
              <w:spacing w:line="360" w:lineRule="exact"/>
              <w:jc w:val="right"/>
              <w:rPr>
                <w:rFonts w:eastAsia="等线"/>
                <w:color w:val="000000"/>
              </w:rPr>
            </w:pPr>
            <w:r>
              <w:rPr>
                <w:rFonts w:eastAsia="等线"/>
                <w:color w:val="000000"/>
              </w:rPr>
              <w:t>3.84</w:t>
            </w:r>
          </w:p>
        </w:tc>
      </w:tr>
    </w:tbl>
    <w:p w14:paraId="21CFA431" w14:textId="77777777" w:rsidR="00E73699" w:rsidRDefault="00C220E4">
      <w:pPr>
        <w:widowControl/>
        <w:spacing w:line="600" w:lineRule="exact"/>
        <w:jc w:val="left"/>
        <w:rPr>
          <w:rFonts w:ascii="宋体" w:hAnsi="宋体" w:cs="宋体"/>
          <w:b/>
          <w:color w:val="000000"/>
          <w:kern w:val="0"/>
          <w:sz w:val="28"/>
          <w:szCs w:val="28"/>
        </w:rPr>
      </w:pPr>
      <w:r>
        <w:rPr>
          <w:rFonts w:ascii="宋体" w:hAnsi="宋体" w:cs="宋体" w:hint="eastAsia"/>
          <w:b/>
          <w:color w:val="000000"/>
          <w:kern w:val="0"/>
          <w:sz w:val="28"/>
          <w:szCs w:val="28"/>
        </w:rPr>
        <w:t>二、业绩快报修正原因说明</w:t>
      </w:r>
    </w:p>
    <w:p w14:paraId="5DA35DB9" w14:textId="77777777" w:rsidR="00E73699" w:rsidRDefault="00C220E4">
      <w:pPr>
        <w:widowControl/>
        <w:spacing w:line="600" w:lineRule="exact"/>
        <w:ind w:firstLineChars="200" w:firstLine="560"/>
        <w:rPr>
          <w:color w:val="000000"/>
          <w:kern w:val="0"/>
          <w:sz w:val="28"/>
          <w:szCs w:val="28"/>
        </w:rPr>
      </w:pPr>
      <w:r>
        <w:rPr>
          <w:rFonts w:hint="eastAsia"/>
          <w:color w:val="000000"/>
          <w:kern w:val="0"/>
          <w:sz w:val="28"/>
          <w:szCs w:val="28"/>
        </w:rPr>
        <w:t>深圳市有方科技股份有限公司于</w:t>
      </w:r>
      <w:r>
        <w:rPr>
          <w:color w:val="000000"/>
          <w:kern w:val="0"/>
          <w:sz w:val="28"/>
          <w:szCs w:val="28"/>
        </w:rPr>
        <w:t>2026</w:t>
      </w:r>
      <w:r>
        <w:rPr>
          <w:color w:val="000000"/>
          <w:kern w:val="0"/>
          <w:sz w:val="28"/>
          <w:szCs w:val="28"/>
        </w:rPr>
        <w:t>年</w:t>
      </w:r>
      <w:r>
        <w:rPr>
          <w:color w:val="000000"/>
          <w:kern w:val="0"/>
          <w:sz w:val="28"/>
          <w:szCs w:val="28"/>
        </w:rPr>
        <w:t>2</w:t>
      </w:r>
      <w:r>
        <w:rPr>
          <w:color w:val="000000"/>
          <w:kern w:val="0"/>
          <w:sz w:val="28"/>
          <w:szCs w:val="28"/>
        </w:rPr>
        <w:t>月</w:t>
      </w:r>
      <w:r>
        <w:rPr>
          <w:color w:val="000000"/>
          <w:kern w:val="0"/>
          <w:sz w:val="28"/>
          <w:szCs w:val="28"/>
        </w:rPr>
        <w:t>28</w:t>
      </w:r>
      <w:r>
        <w:rPr>
          <w:color w:val="000000"/>
          <w:kern w:val="0"/>
          <w:sz w:val="28"/>
          <w:szCs w:val="28"/>
        </w:rPr>
        <w:t>日披露了公司《</w:t>
      </w:r>
      <w:r>
        <w:rPr>
          <w:color w:val="000000"/>
          <w:kern w:val="0"/>
          <w:sz w:val="28"/>
          <w:szCs w:val="28"/>
        </w:rPr>
        <w:t>2025</w:t>
      </w:r>
      <w:r>
        <w:rPr>
          <w:color w:val="000000"/>
          <w:kern w:val="0"/>
          <w:sz w:val="28"/>
          <w:szCs w:val="28"/>
        </w:rPr>
        <w:t>年年度业绩</w:t>
      </w:r>
      <w:r>
        <w:rPr>
          <w:rFonts w:hint="eastAsia"/>
          <w:color w:val="000000"/>
          <w:kern w:val="0"/>
          <w:sz w:val="28"/>
          <w:szCs w:val="28"/>
        </w:rPr>
        <w:t>快</w:t>
      </w:r>
      <w:r>
        <w:rPr>
          <w:color w:val="000000"/>
          <w:kern w:val="0"/>
          <w:sz w:val="28"/>
          <w:szCs w:val="28"/>
        </w:rPr>
        <w:t>报》</w:t>
      </w:r>
      <w:r>
        <w:rPr>
          <w:rFonts w:hint="eastAsia"/>
          <w:color w:val="000000"/>
          <w:kern w:val="0"/>
          <w:sz w:val="28"/>
          <w:szCs w:val="28"/>
        </w:rPr>
        <w:t>，</w:t>
      </w:r>
      <w:r>
        <w:rPr>
          <w:color w:val="000000"/>
          <w:kern w:val="0"/>
          <w:sz w:val="28"/>
          <w:szCs w:val="28"/>
        </w:rPr>
        <w:t>前期公司依据《企业会计准则》及业务开展情况对</w:t>
      </w:r>
      <w:r>
        <w:rPr>
          <w:rFonts w:hint="eastAsia"/>
          <w:color w:val="000000"/>
          <w:kern w:val="0"/>
          <w:sz w:val="28"/>
          <w:szCs w:val="28"/>
        </w:rPr>
        <w:t>云基础设施业务</w:t>
      </w:r>
      <w:r>
        <w:rPr>
          <w:color w:val="000000"/>
          <w:kern w:val="0"/>
          <w:sz w:val="28"/>
          <w:szCs w:val="28"/>
        </w:rPr>
        <w:t>收入确认进行相关会计处理</w:t>
      </w:r>
      <w:r>
        <w:rPr>
          <w:rFonts w:hint="eastAsia"/>
          <w:color w:val="000000"/>
          <w:kern w:val="0"/>
          <w:sz w:val="28"/>
          <w:szCs w:val="28"/>
        </w:rPr>
        <w:t>，经公司组织相关人员重新深入学习会计准则及梳理业务流程，并参考审计机构相关意见，为更严谨地执行《企业会计准则第</w:t>
      </w:r>
      <w:r>
        <w:rPr>
          <w:rFonts w:hint="eastAsia"/>
          <w:color w:val="000000"/>
          <w:kern w:val="0"/>
          <w:sz w:val="28"/>
          <w:szCs w:val="28"/>
        </w:rPr>
        <w:t>14</w:t>
      </w:r>
      <w:r>
        <w:rPr>
          <w:rFonts w:hint="eastAsia"/>
          <w:color w:val="000000"/>
          <w:kern w:val="0"/>
          <w:sz w:val="28"/>
          <w:szCs w:val="28"/>
        </w:rPr>
        <w:t>号</w:t>
      </w:r>
      <w:r>
        <w:rPr>
          <w:rFonts w:hint="eastAsia"/>
          <w:color w:val="000000"/>
          <w:kern w:val="0"/>
          <w:sz w:val="28"/>
          <w:szCs w:val="28"/>
        </w:rPr>
        <w:t>--</w:t>
      </w:r>
      <w:r>
        <w:rPr>
          <w:rFonts w:hint="eastAsia"/>
          <w:color w:val="000000"/>
          <w:kern w:val="0"/>
          <w:sz w:val="28"/>
          <w:szCs w:val="28"/>
        </w:rPr>
        <w:t>收入》的有关规定，公司对部分云基础设施业务的交易实质进行了更加严格的判断，基于审慎性原则，将部分云基础设施业务收入确认方法由总额法调整为净额法，调整后营业收入与快报中发布的数据相差超过</w:t>
      </w:r>
      <w:r>
        <w:rPr>
          <w:rFonts w:hint="eastAsia"/>
          <w:color w:val="000000"/>
          <w:kern w:val="0"/>
          <w:sz w:val="28"/>
          <w:szCs w:val="28"/>
        </w:rPr>
        <w:t>1</w:t>
      </w:r>
      <w:r>
        <w:rPr>
          <w:color w:val="000000"/>
          <w:kern w:val="0"/>
          <w:sz w:val="28"/>
          <w:szCs w:val="28"/>
        </w:rPr>
        <w:t>0%</w:t>
      </w:r>
      <w:r>
        <w:rPr>
          <w:rFonts w:hint="eastAsia"/>
          <w:color w:val="000000"/>
          <w:kern w:val="0"/>
          <w:sz w:val="28"/>
          <w:szCs w:val="28"/>
        </w:rPr>
        <w:t>。</w:t>
      </w:r>
    </w:p>
    <w:p w14:paraId="5F4F682F" w14:textId="77777777" w:rsidR="00E73699" w:rsidRDefault="00C220E4">
      <w:pPr>
        <w:widowControl/>
        <w:spacing w:line="60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t>本次2</w:t>
      </w:r>
      <w:r>
        <w:rPr>
          <w:rFonts w:ascii="宋体" w:hAnsi="宋体" w:cs="宋体"/>
          <w:color w:val="000000"/>
          <w:kern w:val="0"/>
          <w:sz w:val="28"/>
          <w:szCs w:val="28"/>
        </w:rPr>
        <w:t>025年度业绩快报</w:t>
      </w:r>
      <w:r>
        <w:rPr>
          <w:rFonts w:ascii="宋体" w:hAnsi="宋体" w:cs="宋体" w:hint="eastAsia"/>
          <w:color w:val="000000"/>
          <w:kern w:val="0"/>
          <w:sz w:val="28"/>
          <w:szCs w:val="28"/>
        </w:rPr>
        <w:t>更正</w:t>
      </w:r>
      <w:r>
        <w:rPr>
          <w:rFonts w:ascii="宋体" w:hAnsi="宋体" w:cs="宋体"/>
          <w:color w:val="000000"/>
          <w:kern w:val="0"/>
          <w:sz w:val="28"/>
          <w:szCs w:val="28"/>
        </w:rPr>
        <w:t>的事项已与</w:t>
      </w:r>
      <w:r>
        <w:rPr>
          <w:rFonts w:ascii="宋体" w:hAnsi="宋体" w:cs="宋体" w:hint="eastAsia"/>
          <w:color w:val="000000"/>
          <w:kern w:val="0"/>
          <w:sz w:val="28"/>
          <w:szCs w:val="28"/>
        </w:rPr>
        <w:t>2</w:t>
      </w:r>
      <w:r>
        <w:rPr>
          <w:rFonts w:ascii="宋体" w:hAnsi="宋体" w:cs="宋体"/>
          <w:color w:val="000000"/>
          <w:kern w:val="0"/>
          <w:sz w:val="28"/>
          <w:szCs w:val="28"/>
        </w:rPr>
        <w:t>025年年度审计会计师充分沟通，公司与年审会计师均认可调整后的收入确认方法及所涉及的相关数据，</w:t>
      </w:r>
      <w:r>
        <w:rPr>
          <w:rFonts w:ascii="宋体" w:hAnsi="宋体" w:cs="宋体" w:hint="eastAsia"/>
          <w:color w:val="000000"/>
          <w:kern w:val="0"/>
          <w:sz w:val="28"/>
          <w:szCs w:val="28"/>
        </w:rPr>
        <w:t>不存在意见分歧。</w:t>
      </w:r>
    </w:p>
    <w:p w14:paraId="1DF66254" w14:textId="77777777" w:rsidR="00E73699" w:rsidRDefault="00C220E4">
      <w:pPr>
        <w:widowControl/>
        <w:spacing w:line="600" w:lineRule="exact"/>
        <w:ind w:firstLineChars="200" w:firstLine="560"/>
        <w:rPr>
          <w:rFonts w:ascii="宋体" w:hAnsi="宋体" w:cs="宋体"/>
          <w:color w:val="000000"/>
          <w:kern w:val="0"/>
          <w:sz w:val="28"/>
          <w:szCs w:val="28"/>
        </w:rPr>
      </w:pPr>
      <w:r>
        <w:rPr>
          <w:rFonts w:ascii="宋体" w:hAnsi="宋体" w:cs="宋体" w:hint="eastAsia"/>
          <w:color w:val="000000"/>
          <w:kern w:val="0"/>
          <w:sz w:val="28"/>
          <w:szCs w:val="28"/>
        </w:rPr>
        <w:lastRenderedPageBreak/>
        <w:t>公司在业绩快报中针对该事项已经做出了充分的风险提示，提示随着会计师事务所对公司业务收入核算方式的核查，数据可能会存在差异，具体数据以公司发布的2</w:t>
      </w:r>
      <w:r>
        <w:rPr>
          <w:rFonts w:ascii="宋体" w:hAnsi="宋体" w:cs="宋体"/>
          <w:color w:val="000000"/>
          <w:kern w:val="0"/>
          <w:sz w:val="28"/>
          <w:szCs w:val="28"/>
        </w:rPr>
        <w:t>025年年度报告中披露的数据为准。</w:t>
      </w:r>
    </w:p>
    <w:p w14:paraId="0F74446F" w14:textId="77777777" w:rsidR="00E73699" w:rsidRDefault="00C220E4">
      <w:pPr>
        <w:widowControl/>
        <w:spacing w:line="600" w:lineRule="exact"/>
        <w:jc w:val="left"/>
        <w:rPr>
          <w:rFonts w:ascii="宋体" w:hAnsi="宋体" w:cs="宋体"/>
          <w:b/>
          <w:color w:val="000000"/>
          <w:kern w:val="0"/>
          <w:sz w:val="28"/>
          <w:szCs w:val="28"/>
        </w:rPr>
      </w:pPr>
      <w:r>
        <w:rPr>
          <w:rFonts w:ascii="宋体" w:hAnsi="宋体" w:cs="宋体" w:hint="eastAsia"/>
          <w:b/>
          <w:color w:val="000000"/>
          <w:kern w:val="0"/>
          <w:sz w:val="28"/>
          <w:szCs w:val="28"/>
        </w:rPr>
        <w:t>三</w:t>
      </w:r>
      <w:r>
        <w:rPr>
          <w:rFonts w:ascii="宋体" w:hAnsi="宋体" w:cs="宋体"/>
          <w:b/>
          <w:color w:val="000000"/>
          <w:kern w:val="0"/>
          <w:sz w:val="28"/>
          <w:szCs w:val="28"/>
        </w:rPr>
        <w:t>、其他说明</w:t>
      </w:r>
    </w:p>
    <w:p w14:paraId="31531661" w14:textId="77777777" w:rsidR="00E73699" w:rsidRDefault="00C220E4">
      <w:pPr>
        <w:widowControl/>
        <w:spacing w:line="600" w:lineRule="exact"/>
        <w:ind w:firstLineChars="200" w:firstLine="560"/>
        <w:rPr>
          <w:color w:val="000000"/>
          <w:kern w:val="0"/>
          <w:sz w:val="28"/>
          <w:szCs w:val="28"/>
        </w:rPr>
      </w:pPr>
      <w:r>
        <w:rPr>
          <w:color w:val="000000"/>
          <w:kern w:val="0"/>
          <w:sz w:val="28"/>
          <w:szCs w:val="28"/>
        </w:rPr>
        <w:t>因本次</w:t>
      </w:r>
      <w:r>
        <w:rPr>
          <w:rFonts w:hint="eastAsia"/>
          <w:color w:val="000000"/>
          <w:kern w:val="0"/>
          <w:sz w:val="28"/>
          <w:szCs w:val="28"/>
        </w:rPr>
        <w:t>更正</w:t>
      </w:r>
      <w:r>
        <w:rPr>
          <w:color w:val="000000"/>
          <w:kern w:val="0"/>
          <w:sz w:val="28"/>
          <w:szCs w:val="28"/>
        </w:rPr>
        <w:t>给</w:t>
      </w:r>
      <w:r>
        <w:rPr>
          <w:rFonts w:hint="eastAsia"/>
          <w:color w:val="000000"/>
          <w:kern w:val="0"/>
          <w:sz w:val="28"/>
          <w:szCs w:val="28"/>
        </w:rPr>
        <w:t>广大</w:t>
      </w:r>
      <w:r>
        <w:rPr>
          <w:color w:val="000000"/>
          <w:kern w:val="0"/>
          <w:sz w:val="28"/>
          <w:szCs w:val="28"/>
        </w:rPr>
        <w:t>投资者带来的不便，公司</w:t>
      </w:r>
      <w:r>
        <w:rPr>
          <w:rFonts w:hint="eastAsia"/>
          <w:color w:val="000000"/>
          <w:kern w:val="0"/>
          <w:sz w:val="28"/>
          <w:szCs w:val="28"/>
        </w:rPr>
        <w:t>及董事会</w:t>
      </w:r>
      <w:r>
        <w:rPr>
          <w:color w:val="000000"/>
          <w:kern w:val="0"/>
          <w:sz w:val="28"/>
          <w:szCs w:val="28"/>
        </w:rPr>
        <w:t>深表歉意。公司将以此为鉴，在以后的财务核算工作中审慎判断，以避免类似情况发生。敬请广大投资者谅解！</w:t>
      </w:r>
    </w:p>
    <w:p w14:paraId="065CF90F" w14:textId="77777777" w:rsidR="00E73699" w:rsidRDefault="00C220E4">
      <w:pPr>
        <w:widowControl/>
        <w:spacing w:line="600" w:lineRule="exact"/>
        <w:ind w:firstLineChars="200" w:firstLine="560"/>
        <w:rPr>
          <w:color w:val="000000"/>
          <w:kern w:val="0"/>
          <w:sz w:val="28"/>
          <w:szCs w:val="28"/>
        </w:rPr>
      </w:pPr>
      <w:r>
        <w:rPr>
          <w:rFonts w:hint="eastAsia"/>
          <w:color w:val="000000"/>
          <w:kern w:val="0"/>
          <w:sz w:val="28"/>
          <w:szCs w:val="28"/>
        </w:rPr>
        <w:t>特此公告。</w:t>
      </w:r>
    </w:p>
    <w:p w14:paraId="793757CB" w14:textId="77777777" w:rsidR="00E73699" w:rsidRDefault="00E73699">
      <w:pPr>
        <w:widowControl/>
        <w:spacing w:line="600" w:lineRule="exact"/>
        <w:ind w:firstLineChars="200" w:firstLine="600"/>
        <w:rPr>
          <w:rFonts w:ascii="仿宋_GB2312" w:eastAsia="仿宋_GB2312" w:hAnsi="宋体" w:cs="宋体"/>
          <w:color w:val="000000"/>
          <w:kern w:val="0"/>
          <w:sz w:val="30"/>
          <w:szCs w:val="30"/>
        </w:rPr>
      </w:pPr>
    </w:p>
    <w:p w14:paraId="125E9543" w14:textId="77777777" w:rsidR="00E73699" w:rsidRDefault="00C220E4">
      <w:pPr>
        <w:jc w:val="right"/>
      </w:pPr>
      <w:r>
        <w:rPr>
          <w:rFonts w:hint="eastAsia"/>
          <w:color w:val="000000"/>
          <w:kern w:val="0"/>
          <w:sz w:val="28"/>
          <w:szCs w:val="28"/>
        </w:rPr>
        <w:t>深圳市有方科技</w:t>
      </w:r>
      <w:r>
        <w:rPr>
          <w:color w:val="000000"/>
          <w:kern w:val="0"/>
          <w:sz w:val="28"/>
          <w:szCs w:val="28"/>
        </w:rPr>
        <w:t>股份有限公司董事会</w:t>
      </w:r>
      <w:r>
        <w:rPr>
          <w:color w:val="000000"/>
          <w:kern w:val="0"/>
          <w:sz w:val="28"/>
          <w:szCs w:val="28"/>
        </w:rPr>
        <w:br/>
      </w:r>
      <w:r>
        <w:rPr>
          <w:rFonts w:hint="eastAsia"/>
          <w:color w:val="000000"/>
          <w:kern w:val="0"/>
          <w:sz w:val="28"/>
          <w:szCs w:val="28"/>
        </w:rPr>
        <w:t>2026</w:t>
      </w:r>
      <w:r>
        <w:rPr>
          <w:color w:val="000000"/>
          <w:kern w:val="0"/>
          <w:sz w:val="28"/>
          <w:szCs w:val="28"/>
        </w:rPr>
        <w:t>年</w:t>
      </w:r>
      <w:r>
        <w:rPr>
          <w:color w:val="000000"/>
          <w:kern w:val="0"/>
          <w:sz w:val="28"/>
          <w:szCs w:val="28"/>
        </w:rPr>
        <w:t>4</w:t>
      </w:r>
      <w:r>
        <w:rPr>
          <w:color w:val="000000"/>
          <w:kern w:val="0"/>
          <w:sz w:val="28"/>
          <w:szCs w:val="28"/>
        </w:rPr>
        <w:t>月</w:t>
      </w:r>
      <w:r>
        <w:rPr>
          <w:color w:val="000000"/>
          <w:kern w:val="0"/>
          <w:sz w:val="28"/>
          <w:szCs w:val="28"/>
        </w:rPr>
        <w:t>30</w:t>
      </w:r>
      <w:r>
        <w:rPr>
          <w:color w:val="000000"/>
          <w:kern w:val="0"/>
          <w:sz w:val="28"/>
          <w:szCs w:val="28"/>
        </w:rPr>
        <w:t>日</w:t>
      </w:r>
    </w:p>
    <w:sectPr w:rsidR="00E73699">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451AD" w14:textId="77777777" w:rsidR="00BA60F9" w:rsidRDefault="00BA60F9">
      <w:r>
        <w:separator/>
      </w:r>
    </w:p>
  </w:endnote>
  <w:endnote w:type="continuationSeparator" w:id="0">
    <w:p w14:paraId="68F5C90D" w14:textId="77777777" w:rsidR="00BA60F9" w:rsidRDefault="00BA6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334800"/>
      <w:docPartObj>
        <w:docPartGallery w:val="AutoText"/>
      </w:docPartObj>
    </w:sdtPr>
    <w:sdtEndPr/>
    <w:sdtContent>
      <w:p w14:paraId="19E9AAF6" w14:textId="77777777" w:rsidR="00E73699" w:rsidRDefault="00C220E4">
        <w:pPr>
          <w:pStyle w:val="a6"/>
          <w:jc w:val="center"/>
        </w:pPr>
        <w:r>
          <w:fldChar w:fldCharType="begin"/>
        </w:r>
        <w:r>
          <w:instrText xml:space="preserve"> PAGE   \* MERGEFORMAT </w:instrText>
        </w:r>
        <w:r>
          <w:fldChar w:fldCharType="separate"/>
        </w:r>
        <w:r w:rsidR="00552AB8" w:rsidRPr="00552AB8">
          <w:rPr>
            <w:noProof/>
            <w:lang w:val="zh-CN"/>
          </w:rPr>
          <w:t>2</w:t>
        </w:r>
        <w:r>
          <w:rPr>
            <w:lang w:val="zh-CN"/>
          </w:rPr>
          <w:fldChar w:fldCharType="end"/>
        </w:r>
      </w:p>
    </w:sdtContent>
  </w:sdt>
  <w:p w14:paraId="345067C0" w14:textId="77777777" w:rsidR="00E73699" w:rsidRDefault="00E7369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EC997" w14:textId="77777777" w:rsidR="00BA60F9" w:rsidRDefault="00BA60F9">
      <w:r>
        <w:separator/>
      </w:r>
    </w:p>
  </w:footnote>
  <w:footnote w:type="continuationSeparator" w:id="0">
    <w:p w14:paraId="4E57F234" w14:textId="77777777" w:rsidR="00BA60F9" w:rsidRDefault="00BA60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00618"/>
    <w:rsid w:val="00017A9F"/>
    <w:rsid w:val="00065A19"/>
    <w:rsid w:val="0007398F"/>
    <w:rsid w:val="00090876"/>
    <w:rsid w:val="000C2B9C"/>
    <w:rsid w:val="000D2F7D"/>
    <w:rsid w:val="000D44EB"/>
    <w:rsid w:val="000D6B10"/>
    <w:rsid w:val="000F666D"/>
    <w:rsid w:val="00100618"/>
    <w:rsid w:val="0010429D"/>
    <w:rsid w:val="00105710"/>
    <w:rsid w:val="00110190"/>
    <w:rsid w:val="00125DAA"/>
    <w:rsid w:val="00125F81"/>
    <w:rsid w:val="00164ED9"/>
    <w:rsid w:val="0018070E"/>
    <w:rsid w:val="00193138"/>
    <w:rsid w:val="001A0681"/>
    <w:rsid w:val="001A7403"/>
    <w:rsid w:val="001D2850"/>
    <w:rsid w:val="001E6234"/>
    <w:rsid w:val="001F7834"/>
    <w:rsid w:val="002173C6"/>
    <w:rsid w:val="00220859"/>
    <w:rsid w:val="00220B51"/>
    <w:rsid w:val="002260BA"/>
    <w:rsid w:val="00232AC5"/>
    <w:rsid w:val="002421AA"/>
    <w:rsid w:val="0025345B"/>
    <w:rsid w:val="00276F12"/>
    <w:rsid w:val="00277BF7"/>
    <w:rsid w:val="00277E61"/>
    <w:rsid w:val="002908AE"/>
    <w:rsid w:val="002A7C06"/>
    <w:rsid w:val="002B1E2D"/>
    <w:rsid w:val="002B6798"/>
    <w:rsid w:val="002C326C"/>
    <w:rsid w:val="002D306F"/>
    <w:rsid w:val="002D65A3"/>
    <w:rsid w:val="0033514F"/>
    <w:rsid w:val="00357D28"/>
    <w:rsid w:val="00362661"/>
    <w:rsid w:val="003974E9"/>
    <w:rsid w:val="003B2C33"/>
    <w:rsid w:val="003D47DB"/>
    <w:rsid w:val="003E2DFB"/>
    <w:rsid w:val="00400EFC"/>
    <w:rsid w:val="00401849"/>
    <w:rsid w:val="00402C16"/>
    <w:rsid w:val="0041692F"/>
    <w:rsid w:val="00417D79"/>
    <w:rsid w:val="00431866"/>
    <w:rsid w:val="00452C67"/>
    <w:rsid w:val="00472B61"/>
    <w:rsid w:val="004816B1"/>
    <w:rsid w:val="00490129"/>
    <w:rsid w:val="004B7255"/>
    <w:rsid w:val="004B7AE2"/>
    <w:rsid w:val="004C0B19"/>
    <w:rsid w:val="004C6695"/>
    <w:rsid w:val="004E2C63"/>
    <w:rsid w:val="004F5A58"/>
    <w:rsid w:val="004F68F9"/>
    <w:rsid w:val="004F7930"/>
    <w:rsid w:val="00506C83"/>
    <w:rsid w:val="0051335C"/>
    <w:rsid w:val="0051628C"/>
    <w:rsid w:val="0053106D"/>
    <w:rsid w:val="00533E99"/>
    <w:rsid w:val="005342A0"/>
    <w:rsid w:val="00552AB8"/>
    <w:rsid w:val="005545BC"/>
    <w:rsid w:val="0055663D"/>
    <w:rsid w:val="005603E2"/>
    <w:rsid w:val="00564FFB"/>
    <w:rsid w:val="005721D8"/>
    <w:rsid w:val="005A01B6"/>
    <w:rsid w:val="005A4078"/>
    <w:rsid w:val="005E35BB"/>
    <w:rsid w:val="005F47A2"/>
    <w:rsid w:val="006440D7"/>
    <w:rsid w:val="006517C8"/>
    <w:rsid w:val="00674828"/>
    <w:rsid w:val="006861FD"/>
    <w:rsid w:val="006A55AF"/>
    <w:rsid w:val="006B00A0"/>
    <w:rsid w:val="006B0816"/>
    <w:rsid w:val="006B180A"/>
    <w:rsid w:val="006E1995"/>
    <w:rsid w:val="006E2B8E"/>
    <w:rsid w:val="006E460E"/>
    <w:rsid w:val="006E57B0"/>
    <w:rsid w:val="00705015"/>
    <w:rsid w:val="00706E3F"/>
    <w:rsid w:val="007137E1"/>
    <w:rsid w:val="00721B2E"/>
    <w:rsid w:val="00741271"/>
    <w:rsid w:val="00746820"/>
    <w:rsid w:val="007568EC"/>
    <w:rsid w:val="00764F66"/>
    <w:rsid w:val="00777ACA"/>
    <w:rsid w:val="007966FC"/>
    <w:rsid w:val="007A123D"/>
    <w:rsid w:val="007B12CA"/>
    <w:rsid w:val="007B61E2"/>
    <w:rsid w:val="007D3B51"/>
    <w:rsid w:val="007E3DBF"/>
    <w:rsid w:val="007E5302"/>
    <w:rsid w:val="008320EC"/>
    <w:rsid w:val="0088565D"/>
    <w:rsid w:val="00887B4C"/>
    <w:rsid w:val="008954E5"/>
    <w:rsid w:val="008A6525"/>
    <w:rsid w:val="008F1AA2"/>
    <w:rsid w:val="00913F54"/>
    <w:rsid w:val="00950075"/>
    <w:rsid w:val="00954BE9"/>
    <w:rsid w:val="0098124A"/>
    <w:rsid w:val="009B5698"/>
    <w:rsid w:val="009C4238"/>
    <w:rsid w:val="009D38F0"/>
    <w:rsid w:val="00A023A4"/>
    <w:rsid w:val="00A04600"/>
    <w:rsid w:val="00A125BF"/>
    <w:rsid w:val="00A439FB"/>
    <w:rsid w:val="00A47C07"/>
    <w:rsid w:val="00A51268"/>
    <w:rsid w:val="00A52282"/>
    <w:rsid w:val="00A60AB5"/>
    <w:rsid w:val="00A6270E"/>
    <w:rsid w:val="00A706E4"/>
    <w:rsid w:val="00A91AD9"/>
    <w:rsid w:val="00AB43E1"/>
    <w:rsid w:val="00AC0ED8"/>
    <w:rsid w:val="00AC3DCF"/>
    <w:rsid w:val="00AC7E3D"/>
    <w:rsid w:val="00AF6733"/>
    <w:rsid w:val="00B17715"/>
    <w:rsid w:val="00B50986"/>
    <w:rsid w:val="00B55067"/>
    <w:rsid w:val="00B55C2F"/>
    <w:rsid w:val="00B71630"/>
    <w:rsid w:val="00B8305E"/>
    <w:rsid w:val="00B83B60"/>
    <w:rsid w:val="00BA60F9"/>
    <w:rsid w:val="00BD2643"/>
    <w:rsid w:val="00BF766B"/>
    <w:rsid w:val="00C126F3"/>
    <w:rsid w:val="00C21A1C"/>
    <w:rsid w:val="00C220E4"/>
    <w:rsid w:val="00C23A32"/>
    <w:rsid w:val="00C346B6"/>
    <w:rsid w:val="00C4610A"/>
    <w:rsid w:val="00C73F69"/>
    <w:rsid w:val="00C929B8"/>
    <w:rsid w:val="00CB1D1B"/>
    <w:rsid w:val="00CC53A0"/>
    <w:rsid w:val="00CD53EE"/>
    <w:rsid w:val="00CE116B"/>
    <w:rsid w:val="00CF5FE0"/>
    <w:rsid w:val="00CF70DD"/>
    <w:rsid w:val="00D005C3"/>
    <w:rsid w:val="00D054D1"/>
    <w:rsid w:val="00D15AB8"/>
    <w:rsid w:val="00D242B9"/>
    <w:rsid w:val="00D40A03"/>
    <w:rsid w:val="00D42A15"/>
    <w:rsid w:val="00D477D8"/>
    <w:rsid w:val="00D54BE3"/>
    <w:rsid w:val="00D97F59"/>
    <w:rsid w:val="00DA376D"/>
    <w:rsid w:val="00DB5454"/>
    <w:rsid w:val="00DD6893"/>
    <w:rsid w:val="00DE731B"/>
    <w:rsid w:val="00E10B8F"/>
    <w:rsid w:val="00E20835"/>
    <w:rsid w:val="00E3540F"/>
    <w:rsid w:val="00E46022"/>
    <w:rsid w:val="00E47D8D"/>
    <w:rsid w:val="00E509FD"/>
    <w:rsid w:val="00E52FA5"/>
    <w:rsid w:val="00E73699"/>
    <w:rsid w:val="00E8563E"/>
    <w:rsid w:val="00EA0A69"/>
    <w:rsid w:val="00EA0B74"/>
    <w:rsid w:val="00EA0C49"/>
    <w:rsid w:val="00EB33B7"/>
    <w:rsid w:val="00EC254A"/>
    <w:rsid w:val="00ED26EE"/>
    <w:rsid w:val="00EF2EC0"/>
    <w:rsid w:val="00F157EA"/>
    <w:rsid w:val="00F1790D"/>
    <w:rsid w:val="00F200FD"/>
    <w:rsid w:val="00F36FB7"/>
    <w:rsid w:val="00F42599"/>
    <w:rsid w:val="00F43D0C"/>
    <w:rsid w:val="00F51615"/>
    <w:rsid w:val="00F52F04"/>
    <w:rsid w:val="00F55FDF"/>
    <w:rsid w:val="00F63AE8"/>
    <w:rsid w:val="00F711A9"/>
    <w:rsid w:val="00F71B65"/>
    <w:rsid w:val="00F80E2F"/>
    <w:rsid w:val="00F84850"/>
    <w:rsid w:val="00FC24AE"/>
    <w:rsid w:val="00FC64BB"/>
    <w:rsid w:val="00FE0424"/>
    <w:rsid w:val="616F2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D7798D-DA8B-4C5C-A20D-097F94E3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Pr>
      <w:rFonts w:ascii="宋体"/>
      <w:sz w:val="18"/>
      <w:szCs w:val="18"/>
    </w:rPr>
  </w:style>
  <w:style w:type="paragraph" w:styleId="a4">
    <w:name w:val="annotation text"/>
    <w:basedOn w:val="a"/>
    <w:link w:val="Char0"/>
    <w:uiPriority w:val="99"/>
    <w:semiHidden/>
    <w:unhideWhenUsed/>
    <w:pPr>
      <w:jc w:val="left"/>
    </w:pPr>
  </w:style>
  <w:style w:type="paragraph" w:styleId="a5">
    <w:name w:val="Balloon Text"/>
    <w:basedOn w:val="a"/>
    <w:link w:val="Char1"/>
    <w:uiPriority w:val="99"/>
    <w:semiHidden/>
    <w:unhideWhenUsed/>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semiHidden/>
    <w:unhideWhenUsed/>
    <w:rPr>
      <w:sz w:val="21"/>
      <w:szCs w:val="21"/>
    </w:rPr>
  </w:style>
  <w:style w:type="character" w:customStyle="1" w:styleId="Char0">
    <w:name w:val="批注文字 Char"/>
    <w:basedOn w:val="a0"/>
    <w:link w:val="a4"/>
    <w:uiPriority w:val="99"/>
    <w:semiHidden/>
    <w:rPr>
      <w:rFonts w:ascii="Times New Roman" w:eastAsia="宋体" w:hAnsi="Times New Roman" w:cs="Times New Roman"/>
      <w:szCs w:val="24"/>
    </w:rPr>
  </w:style>
  <w:style w:type="character" w:customStyle="1" w:styleId="Char1">
    <w:name w:val="批注框文本 Char"/>
    <w:basedOn w:val="a0"/>
    <w:link w:val="a5"/>
    <w:uiPriority w:val="99"/>
    <w:semiHidden/>
    <w:rPr>
      <w:rFonts w:ascii="Times New Roman" w:eastAsia="宋体" w:hAnsi="Times New Roman" w:cs="Times New Roman"/>
      <w:sz w:val="18"/>
      <w:szCs w:val="18"/>
    </w:rPr>
  </w:style>
  <w:style w:type="character" w:customStyle="1" w:styleId="1Char">
    <w:name w:val="标题 1 Char"/>
    <w:basedOn w:val="a0"/>
    <w:link w:val="1"/>
    <w:rPr>
      <w:rFonts w:ascii="Times New Roman" w:eastAsia="宋体" w:hAnsi="Times New Roman" w:cs="Times New Roman"/>
      <w:b/>
      <w:bCs/>
      <w:kern w:val="44"/>
      <w:sz w:val="44"/>
      <w:szCs w:val="44"/>
    </w:rPr>
  </w:style>
  <w:style w:type="character" w:customStyle="1" w:styleId="Char">
    <w:name w:val="文档结构图 Char"/>
    <w:basedOn w:val="a0"/>
    <w:link w:val="a3"/>
    <w:uiPriority w:val="99"/>
    <w:semiHidden/>
    <w:rPr>
      <w:rFonts w:ascii="宋体" w:eastAsia="宋体" w:hAnsi="Times New Roman" w:cs="Times New Roman"/>
      <w:sz w:val="18"/>
      <w:szCs w:val="18"/>
    </w:rPr>
  </w:style>
  <w:style w:type="character" w:customStyle="1" w:styleId="Char3">
    <w:name w:val="页眉 Char"/>
    <w:basedOn w:val="a0"/>
    <w:link w:val="a7"/>
    <w:uiPriority w:val="99"/>
    <w:qFormat/>
    <w:rPr>
      <w:rFonts w:ascii="Times New Roman" w:eastAsia="宋体" w:hAnsi="Times New Roman" w:cs="Times New Roman"/>
      <w:sz w:val="18"/>
      <w:szCs w:val="18"/>
    </w:rPr>
  </w:style>
  <w:style w:type="character" w:customStyle="1" w:styleId="Char2">
    <w:name w:val="页脚 Char"/>
    <w:basedOn w:val="a0"/>
    <w:link w:val="a6"/>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84D618-5C96-4C14-8D05-34886B03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661</Words>
  <Characters>860</Characters>
  <Application>Microsoft Office Word</Application>
  <DocSecurity>0</DocSecurity>
  <Lines>107</Lines>
  <Paragraphs>95</Paragraphs>
  <ScaleCrop>false</ScaleCrop>
  <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dsware</dc:creator>
  <cp:lastModifiedBy>郑妍</cp:lastModifiedBy>
  <cp:revision>134</cp:revision>
  <dcterms:created xsi:type="dcterms:W3CDTF">2019-04-09T06:34:00Z</dcterms:created>
  <dcterms:modified xsi:type="dcterms:W3CDTF">2026-04-28T11:24:00Z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eyJoZGlkIjoiMzEwNTM5NzYwMDRjMzkwZTVkZjY2ODkwMGIxNGU0OTUiLCJ1c2VySWQiOiIzODY2MjY2MzQifQ==</vt:lpwstr>
  </property>
  <property fmtid="{D5CDD505-2E9C-101B-9397-08002B2CF9AE}" pid="3" name="KSOProductBuildVer">
    <vt:lpwstr>2052-12.1.0.25865</vt:lpwstr>
  </property>
  <property fmtid="{D5CDD505-2E9C-101B-9397-08002B2CF9AE}" pid="4" name="ICV">
    <vt:lpwstr>833A6F17178745E2976B49F68B10F7DD_12</vt:lpwstr>
  </property>
</Properties>
</file>