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CE6B804" w14:textId="0E9150B5" w:rsidR="00CC6399" w:rsidRDefault="009A6707">
      <w:pPr>
        <w:adjustRightInd w:val="0"/>
        <w:snapToGrid w:val="0"/>
        <w:spacing w:line="600" w:lineRule="exact"/>
        <w:ind w:firstLineChars="0" w:firstLine="0"/>
        <w:jc w:val="left"/>
        <w:rPr>
          <w:rFonts w:ascii="黑体" w:eastAsia="黑体" w:hAnsi="黑体"/>
          <w:b/>
          <w:bCs/>
          <w:sz w:val="28"/>
          <w:szCs w:val="28"/>
        </w:rPr>
      </w:pPr>
      <w:r>
        <w:rPr>
          <w:rFonts w:ascii="黑体" w:eastAsia="黑体" w:hAnsi="黑体" w:hint="eastAsia"/>
          <w:b/>
          <w:bCs/>
          <w:sz w:val="28"/>
          <w:szCs w:val="28"/>
        </w:rPr>
        <w:t>证券代码：6</w:t>
      </w:r>
      <w:r>
        <w:rPr>
          <w:rFonts w:ascii="黑体" w:eastAsia="黑体" w:hAnsi="黑体"/>
          <w:b/>
          <w:bCs/>
          <w:sz w:val="28"/>
          <w:szCs w:val="28"/>
        </w:rPr>
        <w:t xml:space="preserve">88159    </w:t>
      </w:r>
      <w:r>
        <w:rPr>
          <w:rFonts w:ascii="黑体" w:eastAsia="黑体" w:hAnsi="黑体" w:hint="eastAsia"/>
          <w:b/>
          <w:bCs/>
          <w:sz w:val="28"/>
          <w:szCs w:val="28"/>
        </w:rPr>
        <w:t>证券简称：有方科技</w:t>
      </w:r>
      <w:r>
        <w:rPr>
          <w:rFonts w:ascii="黑体" w:eastAsia="黑体" w:hAnsi="黑体"/>
          <w:b/>
          <w:bCs/>
          <w:sz w:val="28"/>
          <w:szCs w:val="28"/>
        </w:rPr>
        <w:t xml:space="preserve">    </w:t>
      </w:r>
      <w:r>
        <w:rPr>
          <w:rFonts w:ascii="黑体" w:eastAsia="黑体" w:hAnsi="黑体" w:hint="eastAsia"/>
          <w:b/>
          <w:bCs/>
          <w:sz w:val="28"/>
          <w:szCs w:val="28"/>
        </w:rPr>
        <w:t>公告编号：202</w:t>
      </w:r>
      <w:r w:rsidRPr="00A47BC0">
        <w:rPr>
          <w:rFonts w:ascii="黑体" w:eastAsia="黑体" w:hAnsi="黑体" w:hint="eastAsia"/>
          <w:b/>
          <w:bCs/>
          <w:sz w:val="28"/>
          <w:szCs w:val="28"/>
        </w:rPr>
        <w:t>6</w:t>
      </w:r>
      <w:r w:rsidRPr="00A47BC0">
        <w:rPr>
          <w:rFonts w:ascii="黑体" w:eastAsia="黑体" w:hAnsi="黑体"/>
          <w:b/>
          <w:bCs/>
          <w:sz w:val="28"/>
          <w:szCs w:val="28"/>
        </w:rPr>
        <w:t>-0</w:t>
      </w:r>
      <w:r w:rsidR="00A47BC0" w:rsidRPr="00A47BC0">
        <w:rPr>
          <w:rFonts w:ascii="黑体" w:eastAsia="黑体" w:hAnsi="黑体"/>
          <w:b/>
          <w:bCs/>
          <w:sz w:val="28"/>
          <w:szCs w:val="28"/>
        </w:rPr>
        <w:t>28</w:t>
      </w:r>
    </w:p>
    <w:p w14:paraId="257AA1DB" w14:textId="77777777" w:rsidR="00CC6399" w:rsidRDefault="00CC6399">
      <w:pPr>
        <w:adjustRightInd w:val="0"/>
        <w:snapToGrid w:val="0"/>
        <w:spacing w:line="600" w:lineRule="exact"/>
        <w:ind w:firstLine="600"/>
        <w:jc w:val="left"/>
        <w:rPr>
          <w:rFonts w:ascii="仿宋_GB2312" w:eastAsia="仿宋_GB2312" w:hAnsi="宋体"/>
          <w:sz w:val="30"/>
          <w:szCs w:val="30"/>
        </w:rPr>
      </w:pPr>
    </w:p>
    <w:p w14:paraId="00836349" w14:textId="77777777" w:rsidR="00CC6399" w:rsidRDefault="009A6707">
      <w:pPr>
        <w:ind w:left="420" w:firstLineChars="0" w:firstLine="0"/>
        <w:jc w:val="center"/>
        <w:rPr>
          <w:rFonts w:ascii="黑体" w:eastAsia="黑体" w:hAnsi="黑体"/>
          <w:b/>
          <w:bCs/>
          <w:sz w:val="44"/>
          <w:szCs w:val="44"/>
        </w:rPr>
      </w:pPr>
      <w:r>
        <w:rPr>
          <w:rFonts w:ascii="黑体" w:eastAsia="黑体" w:hAnsi="黑体" w:hint="eastAsia"/>
          <w:b/>
          <w:bCs/>
          <w:sz w:val="44"/>
          <w:szCs w:val="44"/>
        </w:rPr>
        <w:t>深圳市有方科技股份有限公司</w:t>
      </w:r>
    </w:p>
    <w:p w14:paraId="3BD32D12" w14:textId="77777777" w:rsidR="00965123" w:rsidRDefault="009A6707">
      <w:pPr>
        <w:ind w:left="420" w:firstLineChars="0" w:firstLine="0"/>
        <w:jc w:val="center"/>
        <w:rPr>
          <w:rFonts w:ascii="黑体" w:eastAsia="黑体" w:hAnsi="黑体"/>
          <w:b/>
          <w:bCs/>
          <w:sz w:val="44"/>
          <w:szCs w:val="44"/>
        </w:rPr>
      </w:pPr>
      <w:r>
        <w:rPr>
          <w:rFonts w:ascii="黑体" w:eastAsia="黑体" w:hAnsi="黑体" w:hint="eastAsia"/>
          <w:b/>
          <w:bCs/>
          <w:sz w:val="44"/>
          <w:szCs w:val="44"/>
        </w:rPr>
        <w:t>关于2025年限制性股票激励计划</w:t>
      </w:r>
    </w:p>
    <w:p w14:paraId="1EE06AC5" w14:textId="2F74DEF0" w:rsidR="00CC6399" w:rsidRDefault="009A6707">
      <w:pPr>
        <w:ind w:left="420" w:firstLineChars="0" w:firstLine="0"/>
        <w:jc w:val="center"/>
        <w:rPr>
          <w:rFonts w:ascii="黑体" w:eastAsia="黑体" w:hAnsi="黑体"/>
          <w:b/>
          <w:bCs/>
          <w:sz w:val="44"/>
          <w:szCs w:val="44"/>
        </w:rPr>
      </w:pPr>
      <w:r>
        <w:rPr>
          <w:rFonts w:ascii="黑体" w:eastAsia="黑体" w:hAnsi="黑体" w:hint="eastAsia"/>
          <w:b/>
          <w:bCs/>
          <w:sz w:val="44"/>
          <w:szCs w:val="44"/>
        </w:rPr>
        <w:t>第一个归属期归属条件未成就暨作废部分已授予但尚未归属的限制性股票的公告</w:t>
      </w:r>
    </w:p>
    <w:p w14:paraId="79C8A27B" w14:textId="77777777" w:rsidR="00CC6399" w:rsidRDefault="00CC6399">
      <w:pPr>
        <w:pStyle w:val="p0"/>
        <w:spacing w:line="600" w:lineRule="exact"/>
        <w:ind w:firstLine="600"/>
        <w:jc w:val="center"/>
        <w:rPr>
          <w:rFonts w:ascii="仿宋_GB2312" w:eastAsia="仿宋_GB2312"/>
          <w:color w:val="000000"/>
          <w:sz w:val="30"/>
          <w:szCs w:val="3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22"/>
      </w:tblGrid>
      <w:tr w:rsidR="00CC6399" w14:paraId="388913E9" w14:textId="77777777">
        <w:tc>
          <w:tcPr>
            <w:tcW w:w="8522" w:type="dxa"/>
          </w:tcPr>
          <w:p w14:paraId="29CDE602" w14:textId="77777777" w:rsidR="00CC6399" w:rsidRDefault="009A6707">
            <w:pPr>
              <w:snapToGrid w:val="0"/>
              <w:spacing w:line="600" w:lineRule="exact"/>
              <w:ind w:firstLine="480"/>
              <w:rPr>
                <w:rFonts w:ascii="宋体" w:hAnsi="宋体"/>
                <w:color w:val="000000"/>
                <w:sz w:val="24"/>
                <w:szCs w:val="24"/>
              </w:rPr>
            </w:pPr>
            <w:r>
              <w:rPr>
                <w:rFonts w:ascii="宋体" w:hAnsi="宋体" w:hint="eastAsia"/>
                <w:color w:val="000000"/>
                <w:sz w:val="24"/>
                <w:szCs w:val="24"/>
              </w:rPr>
              <w:t>本公司董事会及全体董事保证本公告内容不存在任何虚假记载、误导性陈述或者重大遗漏，并对其内容的真实性、准确性和完整性依法承担法律责任。</w:t>
            </w:r>
          </w:p>
        </w:tc>
      </w:tr>
    </w:tbl>
    <w:p w14:paraId="33032568" w14:textId="77777777" w:rsidR="00CC6399" w:rsidRDefault="00CC6399">
      <w:pPr>
        <w:ind w:firstLine="480"/>
        <w:jc w:val="center"/>
        <w:rPr>
          <w:rFonts w:ascii="Times New Roman" w:eastAsia="宋体" w:hAnsi="Times New Roman" w:cs="Times New Roman"/>
          <w:sz w:val="24"/>
          <w:szCs w:val="24"/>
        </w:rPr>
      </w:pPr>
    </w:p>
    <w:p w14:paraId="176D3722" w14:textId="77777777" w:rsidR="00CC6399" w:rsidRDefault="009A6707">
      <w:pPr>
        <w:ind w:firstLine="560"/>
        <w:rPr>
          <w:rFonts w:ascii="Times New Roman" w:eastAsia="宋体" w:hAnsi="Times New Roman" w:cs="Times New Roman"/>
          <w:sz w:val="28"/>
          <w:szCs w:val="28"/>
        </w:rPr>
      </w:pPr>
      <w:r>
        <w:rPr>
          <w:rFonts w:ascii="Times New Roman" w:eastAsia="宋体" w:hAnsi="Times New Roman" w:cs="Times New Roman"/>
          <w:sz w:val="28"/>
          <w:szCs w:val="28"/>
        </w:rPr>
        <w:t>深圳市有方科技股份有限公司（以下简称或</w:t>
      </w:r>
      <w:r>
        <w:rPr>
          <w:rFonts w:ascii="Times New Roman" w:eastAsia="宋体" w:hAnsi="Times New Roman" w:cs="Times New Roman"/>
          <w:sz w:val="28"/>
          <w:szCs w:val="28"/>
        </w:rPr>
        <w:t>“</w:t>
      </w:r>
      <w:r>
        <w:rPr>
          <w:rFonts w:ascii="Times New Roman" w:eastAsia="宋体" w:hAnsi="Times New Roman" w:cs="Times New Roman"/>
          <w:sz w:val="28"/>
          <w:szCs w:val="28"/>
        </w:rPr>
        <w:t>公司</w:t>
      </w:r>
      <w:r>
        <w:rPr>
          <w:rFonts w:ascii="Times New Roman" w:eastAsia="宋体" w:hAnsi="Times New Roman" w:cs="Times New Roman"/>
          <w:sz w:val="28"/>
          <w:szCs w:val="28"/>
        </w:rPr>
        <w:t>”</w:t>
      </w:r>
      <w:r>
        <w:rPr>
          <w:rFonts w:ascii="Times New Roman" w:eastAsia="宋体" w:hAnsi="Times New Roman" w:cs="Times New Roman"/>
          <w:sz w:val="28"/>
          <w:szCs w:val="28"/>
        </w:rPr>
        <w:t>）</w:t>
      </w:r>
      <w:r>
        <w:rPr>
          <w:rFonts w:ascii="Times New Roman" w:eastAsia="宋体" w:hAnsi="Times New Roman" w:cs="Times New Roman" w:hint="eastAsia"/>
          <w:sz w:val="28"/>
          <w:szCs w:val="28"/>
        </w:rPr>
        <w:t>于</w:t>
      </w:r>
      <w:r>
        <w:rPr>
          <w:rFonts w:ascii="Times New Roman" w:eastAsia="宋体" w:hAnsi="Times New Roman" w:cs="Times New Roman" w:hint="eastAsia"/>
          <w:sz w:val="28"/>
          <w:szCs w:val="28"/>
        </w:rPr>
        <w:t>2026</w:t>
      </w:r>
      <w:r>
        <w:rPr>
          <w:rFonts w:ascii="Times New Roman" w:eastAsia="宋体" w:hAnsi="Times New Roman" w:cs="Times New Roman" w:hint="eastAsia"/>
          <w:sz w:val="28"/>
          <w:szCs w:val="28"/>
        </w:rPr>
        <w:t>年</w:t>
      </w:r>
      <w:r>
        <w:rPr>
          <w:rFonts w:ascii="Times New Roman" w:eastAsia="宋体" w:hAnsi="Times New Roman" w:cs="Times New Roman" w:hint="eastAsia"/>
          <w:sz w:val="28"/>
          <w:szCs w:val="28"/>
        </w:rPr>
        <w:t>4</w:t>
      </w:r>
      <w:r>
        <w:rPr>
          <w:rFonts w:ascii="Times New Roman" w:eastAsia="宋体" w:hAnsi="Times New Roman" w:cs="Times New Roman" w:hint="eastAsia"/>
          <w:sz w:val="28"/>
          <w:szCs w:val="28"/>
        </w:rPr>
        <w:t>月</w:t>
      </w:r>
      <w:r>
        <w:rPr>
          <w:rFonts w:ascii="Times New Roman" w:eastAsia="宋体" w:hAnsi="Times New Roman" w:cs="Times New Roman" w:hint="eastAsia"/>
          <w:sz w:val="28"/>
          <w:szCs w:val="28"/>
        </w:rPr>
        <w:t>2</w:t>
      </w:r>
      <w:r>
        <w:rPr>
          <w:rFonts w:ascii="Times New Roman" w:eastAsia="宋体" w:hAnsi="Times New Roman" w:cs="Times New Roman"/>
          <w:sz w:val="28"/>
          <w:szCs w:val="28"/>
        </w:rPr>
        <w:t>9</w:t>
      </w:r>
      <w:r>
        <w:rPr>
          <w:rFonts w:ascii="Times New Roman" w:eastAsia="宋体" w:hAnsi="Times New Roman" w:cs="Times New Roman" w:hint="eastAsia"/>
          <w:sz w:val="28"/>
          <w:szCs w:val="28"/>
        </w:rPr>
        <w:t>日召开了第四届董事会第十三次会议审议通过了《关于</w:t>
      </w:r>
      <w:r>
        <w:rPr>
          <w:rFonts w:ascii="Times New Roman" w:eastAsia="宋体" w:hAnsi="Times New Roman" w:cs="Times New Roman" w:hint="eastAsia"/>
          <w:sz w:val="28"/>
          <w:szCs w:val="28"/>
        </w:rPr>
        <w:t>2025</w:t>
      </w:r>
      <w:r>
        <w:rPr>
          <w:rFonts w:ascii="Times New Roman" w:eastAsia="宋体" w:hAnsi="Times New Roman" w:cs="Times New Roman" w:hint="eastAsia"/>
          <w:sz w:val="28"/>
          <w:szCs w:val="28"/>
        </w:rPr>
        <w:t>年限制性股票激励计划第一个归属期归属条件未成就暨作废部分已授予但尚未归属的限制性股票的议案》，现将相关事项公告如下：</w:t>
      </w:r>
    </w:p>
    <w:p w14:paraId="14D6D733" w14:textId="77777777" w:rsidR="00CC6399" w:rsidRDefault="009A6707">
      <w:pPr>
        <w:ind w:firstLine="562"/>
        <w:rPr>
          <w:rFonts w:ascii="Times New Roman" w:eastAsia="宋体" w:hAnsi="Times New Roman" w:cs="Times New Roman"/>
          <w:b/>
          <w:bCs/>
          <w:sz w:val="28"/>
          <w:szCs w:val="28"/>
        </w:rPr>
      </w:pPr>
      <w:r>
        <w:rPr>
          <w:rFonts w:ascii="Times New Roman" w:eastAsia="宋体" w:hAnsi="Times New Roman" w:cs="Times New Roman"/>
          <w:b/>
          <w:bCs/>
          <w:sz w:val="28"/>
          <w:szCs w:val="28"/>
        </w:rPr>
        <w:t>一、</w:t>
      </w:r>
      <w:r>
        <w:rPr>
          <w:rFonts w:ascii="Times New Roman" w:eastAsia="宋体" w:hAnsi="Times New Roman" w:cs="Times New Roman" w:hint="eastAsia"/>
          <w:b/>
          <w:bCs/>
          <w:sz w:val="28"/>
          <w:szCs w:val="28"/>
        </w:rPr>
        <w:t>本激励计划</w:t>
      </w:r>
      <w:r>
        <w:rPr>
          <w:rFonts w:ascii="Times New Roman" w:eastAsia="宋体" w:hAnsi="Times New Roman" w:cs="Times New Roman"/>
          <w:b/>
          <w:bCs/>
          <w:sz w:val="28"/>
          <w:szCs w:val="28"/>
        </w:rPr>
        <w:t>已履行的决策程序和信息披露情况</w:t>
      </w:r>
    </w:p>
    <w:p w14:paraId="5491CB16" w14:textId="4D56B52B" w:rsidR="00CC6399" w:rsidRDefault="009A6707">
      <w:pPr>
        <w:ind w:firstLine="560"/>
        <w:rPr>
          <w:rFonts w:ascii="Times New Roman" w:eastAsia="宋体" w:hAnsi="Times New Roman" w:cs="Times New Roman"/>
          <w:sz w:val="28"/>
          <w:szCs w:val="28"/>
        </w:rPr>
      </w:pPr>
      <w:r>
        <w:rPr>
          <w:rFonts w:ascii="Times New Roman" w:eastAsia="宋体" w:hAnsi="Times New Roman" w:cs="Times New Roman" w:hint="eastAsia"/>
          <w:sz w:val="28"/>
          <w:szCs w:val="28"/>
        </w:rPr>
        <w:t>1</w:t>
      </w:r>
      <w:r>
        <w:rPr>
          <w:rFonts w:ascii="Times New Roman" w:eastAsia="宋体" w:hAnsi="Times New Roman" w:cs="Times New Roman" w:hint="eastAsia"/>
          <w:sz w:val="28"/>
          <w:szCs w:val="28"/>
        </w:rPr>
        <w:t>、</w:t>
      </w:r>
      <w:r>
        <w:rPr>
          <w:rFonts w:ascii="Times New Roman" w:eastAsia="宋体" w:hAnsi="Times New Roman" w:cs="Times New Roman" w:hint="eastAsia"/>
          <w:sz w:val="28"/>
          <w:szCs w:val="28"/>
        </w:rPr>
        <w:t>2025</w:t>
      </w:r>
      <w:r>
        <w:rPr>
          <w:rFonts w:ascii="Times New Roman" w:eastAsia="宋体" w:hAnsi="Times New Roman" w:cs="Times New Roman" w:hint="eastAsia"/>
          <w:sz w:val="28"/>
          <w:szCs w:val="28"/>
        </w:rPr>
        <w:t>年</w:t>
      </w:r>
      <w:r>
        <w:rPr>
          <w:rFonts w:ascii="Times New Roman" w:eastAsia="宋体" w:hAnsi="Times New Roman" w:cs="Times New Roman"/>
          <w:sz w:val="28"/>
          <w:szCs w:val="28"/>
        </w:rPr>
        <w:t>4</w:t>
      </w:r>
      <w:r>
        <w:rPr>
          <w:rFonts w:ascii="Times New Roman" w:eastAsia="宋体" w:hAnsi="Times New Roman" w:cs="Times New Roman" w:hint="eastAsia"/>
          <w:sz w:val="28"/>
          <w:szCs w:val="28"/>
        </w:rPr>
        <w:t>月</w:t>
      </w:r>
      <w:r>
        <w:rPr>
          <w:rFonts w:ascii="Times New Roman" w:eastAsia="宋体" w:hAnsi="Times New Roman" w:cs="Times New Roman" w:hint="eastAsia"/>
          <w:sz w:val="28"/>
          <w:szCs w:val="28"/>
        </w:rPr>
        <w:t>2</w:t>
      </w:r>
      <w:r>
        <w:rPr>
          <w:rFonts w:ascii="Times New Roman" w:eastAsia="宋体" w:hAnsi="Times New Roman" w:cs="Times New Roman"/>
          <w:sz w:val="28"/>
          <w:szCs w:val="28"/>
        </w:rPr>
        <w:t>9</w:t>
      </w:r>
      <w:r>
        <w:rPr>
          <w:rFonts w:ascii="Times New Roman" w:eastAsia="宋体" w:hAnsi="Times New Roman" w:cs="Times New Roman" w:hint="eastAsia"/>
          <w:sz w:val="28"/>
          <w:szCs w:val="28"/>
        </w:rPr>
        <w:t>日，公司第四届董事会第五次会议审议通过了《关于</w:t>
      </w:r>
      <w:r>
        <w:rPr>
          <w:rFonts w:ascii="Times New Roman" w:eastAsia="宋体" w:hAnsi="Times New Roman" w:cs="Times New Roman" w:hint="eastAsia"/>
          <w:sz w:val="28"/>
          <w:szCs w:val="28"/>
        </w:rPr>
        <w:t>&lt;</w:t>
      </w:r>
      <w:r>
        <w:rPr>
          <w:rFonts w:ascii="Times New Roman" w:eastAsia="宋体" w:hAnsi="Times New Roman" w:cs="Times New Roman" w:hint="eastAsia"/>
          <w:sz w:val="28"/>
          <w:szCs w:val="28"/>
        </w:rPr>
        <w:t>深圳市有方科技股份有限公司</w:t>
      </w:r>
      <w:r>
        <w:rPr>
          <w:rFonts w:ascii="Times New Roman" w:eastAsia="宋体" w:hAnsi="Times New Roman" w:cs="Times New Roman" w:hint="eastAsia"/>
          <w:sz w:val="28"/>
          <w:szCs w:val="28"/>
        </w:rPr>
        <w:t>2025</w:t>
      </w:r>
      <w:r>
        <w:rPr>
          <w:rFonts w:ascii="Times New Roman" w:eastAsia="宋体" w:hAnsi="Times New Roman" w:cs="Times New Roman" w:hint="eastAsia"/>
          <w:sz w:val="28"/>
          <w:szCs w:val="28"/>
        </w:rPr>
        <w:t>年限制性股票激励计划（草案）</w:t>
      </w:r>
      <w:r>
        <w:rPr>
          <w:rFonts w:ascii="Times New Roman" w:eastAsia="宋体" w:hAnsi="Times New Roman" w:cs="Times New Roman" w:hint="eastAsia"/>
          <w:sz w:val="28"/>
          <w:szCs w:val="28"/>
        </w:rPr>
        <w:t>&gt;</w:t>
      </w:r>
      <w:r>
        <w:rPr>
          <w:rFonts w:ascii="Times New Roman" w:eastAsia="宋体" w:hAnsi="Times New Roman" w:cs="Times New Roman" w:hint="eastAsia"/>
          <w:sz w:val="28"/>
          <w:szCs w:val="28"/>
        </w:rPr>
        <w:t>及其摘要的议案》《关于</w:t>
      </w:r>
      <w:r>
        <w:rPr>
          <w:rFonts w:ascii="Times New Roman" w:eastAsia="宋体" w:hAnsi="Times New Roman" w:cs="Times New Roman" w:hint="eastAsia"/>
          <w:sz w:val="28"/>
          <w:szCs w:val="28"/>
        </w:rPr>
        <w:t>&lt;</w:t>
      </w:r>
      <w:r>
        <w:rPr>
          <w:rFonts w:ascii="Times New Roman" w:eastAsia="宋体" w:hAnsi="Times New Roman" w:cs="Times New Roman" w:hint="eastAsia"/>
          <w:sz w:val="28"/>
          <w:szCs w:val="28"/>
        </w:rPr>
        <w:t>深圳市有方科技股份有限公司</w:t>
      </w:r>
      <w:r>
        <w:rPr>
          <w:rFonts w:ascii="Times New Roman" w:eastAsia="宋体" w:hAnsi="Times New Roman" w:cs="Times New Roman" w:hint="eastAsia"/>
          <w:sz w:val="28"/>
          <w:szCs w:val="28"/>
        </w:rPr>
        <w:t>2025</w:t>
      </w:r>
      <w:r>
        <w:rPr>
          <w:rFonts w:ascii="Times New Roman" w:eastAsia="宋体" w:hAnsi="Times New Roman" w:cs="Times New Roman" w:hint="eastAsia"/>
          <w:sz w:val="28"/>
          <w:szCs w:val="28"/>
        </w:rPr>
        <w:t>年限制性股票激励计划实施考核管理办法</w:t>
      </w:r>
      <w:r>
        <w:rPr>
          <w:rFonts w:ascii="Times New Roman" w:eastAsia="宋体" w:hAnsi="Times New Roman" w:cs="Times New Roman" w:hint="eastAsia"/>
          <w:sz w:val="28"/>
          <w:szCs w:val="28"/>
        </w:rPr>
        <w:t>&gt;</w:t>
      </w:r>
      <w:r>
        <w:rPr>
          <w:rFonts w:ascii="Times New Roman" w:eastAsia="宋体" w:hAnsi="Times New Roman" w:cs="Times New Roman" w:hint="eastAsia"/>
          <w:sz w:val="28"/>
          <w:szCs w:val="28"/>
        </w:rPr>
        <w:t>的议案》《关于提请股东大会授权董事会办理公司</w:t>
      </w:r>
      <w:r>
        <w:rPr>
          <w:rFonts w:ascii="Times New Roman" w:eastAsia="宋体" w:hAnsi="Times New Roman" w:cs="Times New Roman" w:hint="eastAsia"/>
          <w:sz w:val="28"/>
          <w:szCs w:val="28"/>
        </w:rPr>
        <w:t>2025</w:t>
      </w:r>
      <w:r>
        <w:rPr>
          <w:rFonts w:ascii="Times New Roman" w:eastAsia="宋体" w:hAnsi="Times New Roman" w:cs="Times New Roman" w:hint="eastAsia"/>
          <w:sz w:val="28"/>
          <w:szCs w:val="28"/>
        </w:rPr>
        <w:t>年限制性股票激励计划相关事宜的议案》。公司第四届薪酬与考核委员会第二次会议审议通过并出具</w:t>
      </w:r>
      <w:r>
        <w:rPr>
          <w:rFonts w:ascii="Times New Roman" w:eastAsia="宋体" w:hAnsi="Times New Roman" w:cs="Times New Roman" w:hint="eastAsia"/>
          <w:sz w:val="28"/>
          <w:szCs w:val="28"/>
        </w:rPr>
        <w:lastRenderedPageBreak/>
        <w:t>相关事项明确同意的核查意见。</w:t>
      </w:r>
    </w:p>
    <w:p w14:paraId="26081EC2" w14:textId="127103FF" w:rsidR="00CC6399" w:rsidRDefault="009A6707">
      <w:pPr>
        <w:ind w:firstLine="560"/>
        <w:rPr>
          <w:rFonts w:ascii="Times New Roman" w:eastAsia="宋体" w:hAnsi="Times New Roman" w:cs="Times New Roman"/>
          <w:sz w:val="28"/>
          <w:szCs w:val="28"/>
        </w:rPr>
      </w:pPr>
      <w:r>
        <w:rPr>
          <w:rFonts w:ascii="Times New Roman" w:eastAsia="宋体" w:hAnsi="Times New Roman" w:cs="Times New Roman"/>
          <w:sz w:val="28"/>
          <w:szCs w:val="28"/>
        </w:rPr>
        <w:t>2</w:t>
      </w:r>
      <w:r>
        <w:rPr>
          <w:rFonts w:ascii="Times New Roman" w:eastAsia="宋体" w:hAnsi="Times New Roman" w:cs="Times New Roman" w:hint="eastAsia"/>
          <w:sz w:val="28"/>
          <w:szCs w:val="28"/>
        </w:rPr>
        <w:t>、公司于</w:t>
      </w:r>
      <w:r>
        <w:rPr>
          <w:rFonts w:ascii="Times New Roman" w:eastAsia="宋体" w:hAnsi="Times New Roman" w:cs="Times New Roman" w:hint="eastAsia"/>
          <w:sz w:val="28"/>
          <w:szCs w:val="28"/>
        </w:rPr>
        <w:t>2025</w:t>
      </w:r>
      <w:r>
        <w:rPr>
          <w:rFonts w:ascii="Times New Roman" w:eastAsia="宋体" w:hAnsi="Times New Roman" w:cs="Times New Roman" w:hint="eastAsia"/>
          <w:sz w:val="28"/>
          <w:szCs w:val="28"/>
        </w:rPr>
        <w:t>年</w:t>
      </w:r>
      <w:r>
        <w:rPr>
          <w:rFonts w:ascii="Times New Roman" w:eastAsia="宋体" w:hAnsi="Times New Roman" w:cs="Times New Roman" w:hint="eastAsia"/>
          <w:sz w:val="28"/>
          <w:szCs w:val="28"/>
        </w:rPr>
        <w:t>4</w:t>
      </w:r>
      <w:r>
        <w:rPr>
          <w:rFonts w:ascii="Times New Roman" w:eastAsia="宋体" w:hAnsi="Times New Roman" w:cs="Times New Roman" w:hint="eastAsia"/>
          <w:sz w:val="28"/>
          <w:szCs w:val="28"/>
        </w:rPr>
        <w:t>月</w:t>
      </w:r>
      <w:r>
        <w:rPr>
          <w:rFonts w:ascii="Times New Roman" w:eastAsia="宋体" w:hAnsi="Times New Roman" w:cs="Times New Roman" w:hint="eastAsia"/>
          <w:sz w:val="28"/>
          <w:szCs w:val="28"/>
        </w:rPr>
        <w:t>30</w:t>
      </w:r>
      <w:r>
        <w:rPr>
          <w:rFonts w:ascii="Times New Roman" w:eastAsia="宋体" w:hAnsi="Times New Roman" w:cs="Times New Roman" w:hint="eastAsia"/>
          <w:sz w:val="28"/>
          <w:szCs w:val="28"/>
        </w:rPr>
        <w:t>日至</w:t>
      </w:r>
      <w:r>
        <w:rPr>
          <w:rFonts w:ascii="Times New Roman" w:eastAsia="宋体" w:hAnsi="Times New Roman" w:cs="Times New Roman" w:hint="eastAsia"/>
          <w:sz w:val="28"/>
          <w:szCs w:val="28"/>
        </w:rPr>
        <w:t>2025</w:t>
      </w:r>
      <w:r>
        <w:rPr>
          <w:rFonts w:ascii="Times New Roman" w:eastAsia="宋体" w:hAnsi="Times New Roman" w:cs="Times New Roman" w:hint="eastAsia"/>
          <w:sz w:val="28"/>
          <w:szCs w:val="28"/>
        </w:rPr>
        <w:t>年</w:t>
      </w:r>
      <w:r>
        <w:rPr>
          <w:rFonts w:ascii="Times New Roman" w:eastAsia="宋体" w:hAnsi="Times New Roman" w:cs="Times New Roman" w:hint="eastAsia"/>
          <w:sz w:val="28"/>
          <w:szCs w:val="28"/>
        </w:rPr>
        <w:t>5</w:t>
      </w:r>
      <w:r>
        <w:rPr>
          <w:rFonts w:ascii="Times New Roman" w:eastAsia="宋体" w:hAnsi="Times New Roman" w:cs="Times New Roman" w:hint="eastAsia"/>
          <w:sz w:val="28"/>
          <w:szCs w:val="28"/>
        </w:rPr>
        <w:t>月</w:t>
      </w:r>
      <w:r>
        <w:rPr>
          <w:rFonts w:ascii="Times New Roman" w:eastAsia="宋体" w:hAnsi="Times New Roman" w:cs="Times New Roman" w:hint="eastAsia"/>
          <w:sz w:val="28"/>
          <w:szCs w:val="28"/>
        </w:rPr>
        <w:t>9</w:t>
      </w:r>
      <w:r>
        <w:rPr>
          <w:rFonts w:ascii="Times New Roman" w:eastAsia="宋体" w:hAnsi="Times New Roman" w:cs="Times New Roman" w:hint="eastAsia"/>
          <w:sz w:val="28"/>
          <w:szCs w:val="28"/>
        </w:rPr>
        <w:t>日在内部对本次拟激励对象的姓名和职务进行了公示，公示期内，公司董事会薪酬与考核委员会未收到任何员工针对本次拟激励对象提出的异议。</w:t>
      </w:r>
      <w:r>
        <w:rPr>
          <w:rFonts w:ascii="Times New Roman" w:eastAsia="宋体" w:hAnsi="Times New Roman" w:cs="Times New Roman" w:hint="eastAsia"/>
          <w:sz w:val="28"/>
          <w:szCs w:val="28"/>
        </w:rPr>
        <w:t>2025</w:t>
      </w:r>
      <w:r>
        <w:rPr>
          <w:rFonts w:ascii="Times New Roman" w:eastAsia="宋体" w:hAnsi="Times New Roman" w:cs="Times New Roman" w:hint="eastAsia"/>
          <w:sz w:val="28"/>
          <w:szCs w:val="28"/>
        </w:rPr>
        <w:t>年</w:t>
      </w:r>
      <w:r>
        <w:rPr>
          <w:rFonts w:ascii="Times New Roman" w:eastAsia="宋体" w:hAnsi="Times New Roman" w:cs="Times New Roman"/>
          <w:sz w:val="28"/>
          <w:szCs w:val="28"/>
        </w:rPr>
        <w:t>5</w:t>
      </w:r>
      <w:r>
        <w:rPr>
          <w:rFonts w:ascii="Times New Roman" w:eastAsia="宋体" w:hAnsi="Times New Roman" w:cs="Times New Roman" w:hint="eastAsia"/>
          <w:sz w:val="28"/>
          <w:szCs w:val="28"/>
        </w:rPr>
        <w:t>月</w:t>
      </w:r>
      <w:r>
        <w:rPr>
          <w:rFonts w:ascii="Times New Roman" w:eastAsia="宋体" w:hAnsi="Times New Roman" w:cs="Times New Roman"/>
          <w:sz w:val="28"/>
          <w:szCs w:val="28"/>
        </w:rPr>
        <w:t>10</w:t>
      </w:r>
      <w:r>
        <w:rPr>
          <w:rFonts w:ascii="Times New Roman" w:eastAsia="宋体" w:hAnsi="Times New Roman" w:cs="Times New Roman" w:hint="eastAsia"/>
          <w:sz w:val="28"/>
          <w:szCs w:val="28"/>
        </w:rPr>
        <w:t>日，公司</w:t>
      </w:r>
      <w:r>
        <w:rPr>
          <w:rFonts w:ascii="Times New Roman" w:eastAsia="宋体" w:hAnsi="Times New Roman" w:cs="Times New Roman"/>
          <w:sz w:val="28"/>
          <w:szCs w:val="28"/>
        </w:rPr>
        <w:t>于上海证券交易所网站（</w:t>
      </w:r>
      <w:r>
        <w:rPr>
          <w:rFonts w:ascii="Times New Roman" w:eastAsia="宋体" w:hAnsi="Times New Roman" w:cs="Times New Roman"/>
          <w:sz w:val="28"/>
          <w:szCs w:val="28"/>
        </w:rPr>
        <w:t>www.sse.com.cn</w:t>
      </w:r>
      <w:r>
        <w:rPr>
          <w:rFonts w:ascii="Times New Roman" w:eastAsia="宋体" w:hAnsi="Times New Roman" w:cs="Times New Roman"/>
          <w:sz w:val="28"/>
          <w:szCs w:val="28"/>
        </w:rPr>
        <w:t>）披露了</w:t>
      </w:r>
      <w:r>
        <w:rPr>
          <w:rFonts w:ascii="Times New Roman" w:eastAsia="宋体" w:hAnsi="Times New Roman" w:cs="Times New Roman" w:hint="eastAsia"/>
          <w:sz w:val="28"/>
          <w:szCs w:val="28"/>
        </w:rPr>
        <w:t>《深圳市有方科技股份有限公司董事会薪酬与考核委员会关于</w:t>
      </w:r>
      <w:r>
        <w:rPr>
          <w:rFonts w:ascii="Times New Roman" w:eastAsia="宋体" w:hAnsi="Times New Roman" w:cs="Times New Roman" w:hint="eastAsia"/>
          <w:sz w:val="28"/>
          <w:szCs w:val="28"/>
        </w:rPr>
        <w:t>2025</w:t>
      </w:r>
      <w:r>
        <w:rPr>
          <w:rFonts w:ascii="Times New Roman" w:eastAsia="宋体" w:hAnsi="Times New Roman" w:cs="Times New Roman" w:hint="eastAsia"/>
          <w:sz w:val="28"/>
          <w:szCs w:val="28"/>
        </w:rPr>
        <w:t>年限制性股票激励计划激励对象名单的审核意见及公示情况说明》。</w:t>
      </w:r>
    </w:p>
    <w:p w14:paraId="0FBAEAE0" w14:textId="77777777" w:rsidR="00CC6399" w:rsidRDefault="009A6707">
      <w:pPr>
        <w:ind w:firstLine="560"/>
        <w:rPr>
          <w:rFonts w:ascii="Times New Roman" w:eastAsia="宋体" w:hAnsi="Times New Roman" w:cs="Times New Roman"/>
          <w:sz w:val="28"/>
          <w:szCs w:val="28"/>
        </w:rPr>
      </w:pPr>
      <w:r>
        <w:rPr>
          <w:rFonts w:ascii="Times New Roman" w:eastAsia="宋体" w:hAnsi="Times New Roman" w:cs="Times New Roman"/>
          <w:sz w:val="28"/>
          <w:szCs w:val="28"/>
        </w:rPr>
        <w:t>3</w:t>
      </w:r>
      <w:r>
        <w:rPr>
          <w:rFonts w:ascii="Times New Roman" w:eastAsia="宋体" w:hAnsi="Times New Roman" w:cs="Times New Roman" w:hint="eastAsia"/>
          <w:sz w:val="28"/>
          <w:szCs w:val="28"/>
        </w:rPr>
        <w:t>、</w:t>
      </w:r>
      <w:r>
        <w:rPr>
          <w:rFonts w:ascii="Times New Roman" w:eastAsia="宋体" w:hAnsi="Times New Roman" w:cs="Times New Roman" w:hint="eastAsia"/>
          <w:sz w:val="28"/>
          <w:szCs w:val="28"/>
        </w:rPr>
        <w:t>2025</w:t>
      </w:r>
      <w:r>
        <w:rPr>
          <w:rFonts w:ascii="Times New Roman" w:eastAsia="宋体" w:hAnsi="Times New Roman" w:cs="Times New Roman" w:hint="eastAsia"/>
          <w:sz w:val="28"/>
          <w:szCs w:val="28"/>
        </w:rPr>
        <w:t>年</w:t>
      </w:r>
      <w:r>
        <w:rPr>
          <w:rFonts w:ascii="Times New Roman" w:eastAsia="宋体" w:hAnsi="Times New Roman" w:cs="Times New Roman"/>
          <w:sz w:val="28"/>
          <w:szCs w:val="28"/>
        </w:rPr>
        <w:t>5</w:t>
      </w:r>
      <w:r>
        <w:rPr>
          <w:rFonts w:ascii="Times New Roman" w:eastAsia="宋体" w:hAnsi="Times New Roman" w:cs="Times New Roman" w:hint="eastAsia"/>
          <w:sz w:val="28"/>
          <w:szCs w:val="28"/>
        </w:rPr>
        <w:t>月</w:t>
      </w:r>
      <w:r>
        <w:rPr>
          <w:rFonts w:ascii="Times New Roman" w:eastAsia="宋体" w:hAnsi="Times New Roman" w:cs="Times New Roman"/>
          <w:sz w:val="28"/>
          <w:szCs w:val="28"/>
        </w:rPr>
        <w:t>20</w:t>
      </w:r>
      <w:r>
        <w:rPr>
          <w:rFonts w:ascii="Times New Roman" w:eastAsia="宋体" w:hAnsi="Times New Roman" w:cs="Times New Roman" w:hint="eastAsia"/>
          <w:sz w:val="28"/>
          <w:szCs w:val="28"/>
        </w:rPr>
        <w:t>日，公司召开</w:t>
      </w:r>
      <w:r>
        <w:rPr>
          <w:rFonts w:ascii="Times New Roman" w:eastAsia="宋体" w:hAnsi="Times New Roman" w:cs="Times New Roman" w:hint="eastAsia"/>
          <w:sz w:val="28"/>
          <w:szCs w:val="28"/>
        </w:rPr>
        <w:t>202</w:t>
      </w:r>
      <w:r>
        <w:rPr>
          <w:rFonts w:ascii="Times New Roman" w:eastAsia="宋体" w:hAnsi="Times New Roman" w:cs="Times New Roman"/>
          <w:sz w:val="28"/>
          <w:szCs w:val="28"/>
        </w:rPr>
        <w:t>4</w:t>
      </w:r>
      <w:r>
        <w:rPr>
          <w:rFonts w:ascii="Times New Roman" w:eastAsia="宋体" w:hAnsi="Times New Roman" w:cs="Times New Roman" w:hint="eastAsia"/>
          <w:sz w:val="28"/>
          <w:szCs w:val="28"/>
        </w:rPr>
        <w:t>年年度股东大会，审议通过了《关于公司</w:t>
      </w:r>
      <w:r>
        <w:rPr>
          <w:rFonts w:ascii="Times New Roman" w:eastAsia="宋体" w:hAnsi="Times New Roman" w:cs="Times New Roman" w:hint="eastAsia"/>
          <w:sz w:val="28"/>
          <w:szCs w:val="28"/>
        </w:rPr>
        <w:t>&lt;2025</w:t>
      </w:r>
      <w:r>
        <w:rPr>
          <w:rFonts w:ascii="Times New Roman" w:eastAsia="宋体" w:hAnsi="Times New Roman" w:cs="Times New Roman" w:hint="eastAsia"/>
          <w:sz w:val="28"/>
          <w:szCs w:val="28"/>
        </w:rPr>
        <w:t>年限制性股票激励计划（草案）</w:t>
      </w:r>
      <w:r>
        <w:rPr>
          <w:rFonts w:ascii="Times New Roman" w:eastAsia="宋体" w:hAnsi="Times New Roman" w:cs="Times New Roman" w:hint="eastAsia"/>
          <w:sz w:val="28"/>
          <w:szCs w:val="28"/>
        </w:rPr>
        <w:t>&gt;</w:t>
      </w:r>
      <w:r>
        <w:rPr>
          <w:rFonts w:ascii="Times New Roman" w:eastAsia="宋体" w:hAnsi="Times New Roman" w:cs="Times New Roman" w:hint="eastAsia"/>
          <w:sz w:val="28"/>
          <w:szCs w:val="28"/>
        </w:rPr>
        <w:t>及其摘要的议案》《关于公司</w:t>
      </w:r>
      <w:r>
        <w:rPr>
          <w:rFonts w:ascii="Times New Roman" w:eastAsia="宋体" w:hAnsi="Times New Roman" w:cs="Times New Roman" w:hint="eastAsia"/>
          <w:sz w:val="28"/>
          <w:szCs w:val="28"/>
        </w:rPr>
        <w:t>&lt;2025</w:t>
      </w:r>
      <w:r>
        <w:rPr>
          <w:rFonts w:ascii="Times New Roman" w:eastAsia="宋体" w:hAnsi="Times New Roman" w:cs="Times New Roman" w:hint="eastAsia"/>
          <w:sz w:val="28"/>
          <w:szCs w:val="28"/>
        </w:rPr>
        <w:t>年限制性股票激励计划实施考核管理办法</w:t>
      </w:r>
      <w:r>
        <w:rPr>
          <w:rFonts w:ascii="Times New Roman" w:eastAsia="宋体" w:hAnsi="Times New Roman" w:cs="Times New Roman" w:hint="eastAsia"/>
          <w:sz w:val="28"/>
          <w:szCs w:val="28"/>
        </w:rPr>
        <w:t>&gt;</w:t>
      </w:r>
      <w:r>
        <w:rPr>
          <w:rFonts w:ascii="Times New Roman" w:eastAsia="宋体" w:hAnsi="Times New Roman" w:cs="Times New Roman" w:hint="eastAsia"/>
          <w:sz w:val="28"/>
          <w:szCs w:val="28"/>
        </w:rPr>
        <w:t>的议案》《关于提请股东大会授权董事会办理公司</w:t>
      </w:r>
      <w:r>
        <w:rPr>
          <w:rFonts w:ascii="Times New Roman" w:eastAsia="宋体" w:hAnsi="Times New Roman" w:cs="Times New Roman" w:hint="eastAsia"/>
          <w:sz w:val="28"/>
          <w:szCs w:val="28"/>
        </w:rPr>
        <w:t>2025</w:t>
      </w:r>
      <w:r>
        <w:rPr>
          <w:rFonts w:ascii="Times New Roman" w:eastAsia="宋体" w:hAnsi="Times New Roman" w:cs="Times New Roman" w:hint="eastAsia"/>
          <w:sz w:val="28"/>
          <w:szCs w:val="28"/>
        </w:rPr>
        <w:t>年限制性股票激励计划相关事宜的议案》等议案</w:t>
      </w:r>
      <w:r>
        <w:rPr>
          <w:rFonts w:ascii="Times New Roman" w:eastAsia="宋体" w:hAnsi="Times New Roman" w:cs="Times New Roman"/>
          <w:sz w:val="28"/>
          <w:szCs w:val="28"/>
        </w:rPr>
        <w:t>。</w:t>
      </w:r>
      <w:r>
        <w:rPr>
          <w:rFonts w:ascii="Times New Roman" w:eastAsia="宋体" w:hAnsi="Times New Roman" w:cs="Times New Roman" w:hint="eastAsia"/>
          <w:sz w:val="28"/>
          <w:szCs w:val="28"/>
        </w:rPr>
        <w:t>同时，公司就内幕信息知情人和激励对象在本激励计划公告前</w:t>
      </w:r>
      <w:r>
        <w:rPr>
          <w:rFonts w:ascii="Times New Roman" w:eastAsia="宋体" w:hAnsi="Times New Roman" w:cs="Times New Roman" w:hint="eastAsia"/>
          <w:sz w:val="28"/>
          <w:szCs w:val="28"/>
        </w:rPr>
        <w:t>6</w:t>
      </w:r>
      <w:r>
        <w:rPr>
          <w:rFonts w:ascii="Times New Roman" w:eastAsia="宋体" w:hAnsi="Times New Roman" w:cs="Times New Roman" w:hint="eastAsia"/>
          <w:sz w:val="28"/>
          <w:szCs w:val="28"/>
        </w:rPr>
        <w:t>个月内买卖公司股票的情况进行了自查，未发现利用内幕信息进行股票交易的情形。详见公司同日在上海证券交易所网站（</w:t>
      </w:r>
      <w:r>
        <w:rPr>
          <w:rFonts w:ascii="Times New Roman" w:eastAsia="宋体" w:hAnsi="Times New Roman" w:cs="Times New Roman" w:hint="eastAsia"/>
          <w:sz w:val="28"/>
          <w:szCs w:val="28"/>
        </w:rPr>
        <w:t>www.sse.com.cn</w:t>
      </w:r>
      <w:r>
        <w:rPr>
          <w:rFonts w:ascii="Times New Roman" w:eastAsia="宋体" w:hAnsi="Times New Roman" w:cs="Times New Roman" w:hint="eastAsia"/>
          <w:sz w:val="28"/>
          <w:szCs w:val="28"/>
        </w:rPr>
        <w:t>）披露的《关于公司</w:t>
      </w:r>
      <w:r>
        <w:rPr>
          <w:rFonts w:ascii="Times New Roman" w:eastAsia="宋体" w:hAnsi="Times New Roman" w:cs="Times New Roman" w:hint="eastAsia"/>
          <w:sz w:val="28"/>
          <w:szCs w:val="28"/>
        </w:rPr>
        <w:t>2025</w:t>
      </w:r>
      <w:r>
        <w:rPr>
          <w:rFonts w:ascii="Times New Roman" w:eastAsia="宋体" w:hAnsi="Times New Roman" w:cs="Times New Roman" w:hint="eastAsia"/>
          <w:sz w:val="28"/>
          <w:szCs w:val="28"/>
        </w:rPr>
        <w:t>年限制性股票激励计划内幕信息知情人及激励对象买卖公司股票情况的自查报告》（公告编号：</w:t>
      </w:r>
      <w:r>
        <w:rPr>
          <w:rFonts w:ascii="Times New Roman" w:eastAsia="宋体" w:hAnsi="Times New Roman" w:cs="Times New Roman" w:hint="eastAsia"/>
          <w:sz w:val="28"/>
          <w:szCs w:val="28"/>
        </w:rPr>
        <w:t>2025-040</w:t>
      </w:r>
      <w:r>
        <w:rPr>
          <w:rFonts w:ascii="Times New Roman" w:eastAsia="宋体" w:hAnsi="Times New Roman" w:cs="Times New Roman" w:hint="eastAsia"/>
          <w:sz w:val="28"/>
          <w:szCs w:val="28"/>
        </w:rPr>
        <w:t>）</w:t>
      </w:r>
      <w:r>
        <w:rPr>
          <w:rFonts w:ascii="Times New Roman" w:eastAsia="宋体" w:hAnsi="Times New Roman" w:cs="Times New Roman"/>
          <w:sz w:val="28"/>
          <w:szCs w:val="28"/>
        </w:rPr>
        <w:t>。</w:t>
      </w:r>
    </w:p>
    <w:p w14:paraId="703404A2" w14:textId="77777777" w:rsidR="00CC6399" w:rsidRDefault="009A6707">
      <w:pPr>
        <w:ind w:firstLine="560"/>
        <w:rPr>
          <w:rFonts w:ascii="Times New Roman" w:eastAsia="宋体" w:hAnsi="Times New Roman" w:cs="Times New Roman"/>
          <w:sz w:val="28"/>
          <w:szCs w:val="28"/>
        </w:rPr>
      </w:pPr>
      <w:r>
        <w:rPr>
          <w:rFonts w:ascii="Times New Roman" w:eastAsia="宋体" w:hAnsi="Times New Roman" w:cs="Times New Roman" w:hint="eastAsia"/>
          <w:sz w:val="28"/>
          <w:szCs w:val="28"/>
        </w:rPr>
        <w:t>4</w:t>
      </w:r>
      <w:r>
        <w:rPr>
          <w:rFonts w:ascii="Times New Roman" w:eastAsia="宋体" w:hAnsi="Times New Roman" w:cs="Times New Roman" w:hint="eastAsia"/>
          <w:sz w:val="28"/>
          <w:szCs w:val="28"/>
        </w:rPr>
        <w:t>、</w:t>
      </w:r>
      <w:r>
        <w:rPr>
          <w:rFonts w:ascii="Times New Roman" w:eastAsia="宋体" w:hAnsi="Times New Roman" w:cs="Times New Roman"/>
          <w:sz w:val="28"/>
          <w:szCs w:val="28"/>
        </w:rPr>
        <w:t>2025</w:t>
      </w:r>
      <w:r>
        <w:rPr>
          <w:rFonts w:ascii="Times New Roman" w:eastAsia="宋体" w:hAnsi="Times New Roman" w:cs="Times New Roman"/>
          <w:sz w:val="28"/>
          <w:szCs w:val="28"/>
        </w:rPr>
        <w:t>年</w:t>
      </w:r>
      <w:r>
        <w:rPr>
          <w:rFonts w:ascii="Times New Roman" w:eastAsia="宋体" w:hAnsi="Times New Roman" w:cs="Times New Roman"/>
          <w:sz w:val="28"/>
          <w:szCs w:val="28"/>
        </w:rPr>
        <w:t>5</w:t>
      </w:r>
      <w:r>
        <w:rPr>
          <w:rFonts w:ascii="Times New Roman" w:eastAsia="宋体" w:hAnsi="Times New Roman" w:cs="Times New Roman"/>
          <w:sz w:val="28"/>
          <w:szCs w:val="28"/>
        </w:rPr>
        <w:t>月</w:t>
      </w:r>
      <w:r>
        <w:rPr>
          <w:rFonts w:ascii="Times New Roman" w:eastAsia="宋体" w:hAnsi="Times New Roman" w:cs="Times New Roman"/>
          <w:sz w:val="28"/>
          <w:szCs w:val="28"/>
        </w:rPr>
        <w:t>20</w:t>
      </w:r>
      <w:r>
        <w:rPr>
          <w:rFonts w:ascii="Times New Roman" w:eastAsia="宋体" w:hAnsi="Times New Roman" w:cs="Times New Roman"/>
          <w:sz w:val="28"/>
          <w:szCs w:val="28"/>
        </w:rPr>
        <w:t>日，公司召开第</w:t>
      </w:r>
      <w:r>
        <w:rPr>
          <w:rFonts w:ascii="Times New Roman" w:eastAsia="宋体" w:hAnsi="Times New Roman" w:cs="Times New Roman" w:hint="eastAsia"/>
          <w:sz w:val="28"/>
          <w:szCs w:val="28"/>
        </w:rPr>
        <w:t>四</w:t>
      </w:r>
      <w:r>
        <w:rPr>
          <w:rFonts w:ascii="Times New Roman" w:eastAsia="宋体" w:hAnsi="Times New Roman" w:cs="Times New Roman"/>
          <w:sz w:val="28"/>
          <w:szCs w:val="28"/>
        </w:rPr>
        <w:t>届董事会第六次会议，审议通过</w:t>
      </w:r>
      <w:r>
        <w:rPr>
          <w:rFonts w:ascii="Times New Roman" w:eastAsia="宋体" w:hAnsi="Times New Roman" w:cs="Times New Roman" w:hint="eastAsia"/>
          <w:sz w:val="28"/>
          <w:szCs w:val="28"/>
        </w:rPr>
        <w:t>《关于向</w:t>
      </w:r>
      <w:r>
        <w:rPr>
          <w:rFonts w:ascii="Times New Roman" w:eastAsia="宋体" w:hAnsi="Times New Roman" w:cs="Times New Roman" w:hint="eastAsia"/>
          <w:sz w:val="28"/>
          <w:szCs w:val="28"/>
        </w:rPr>
        <w:t>2025</w:t>
      </w:r>
      <w:r>
        <w:rPr>
          <w:rFonts w:ascii="Times New Roman" w:eastAsia="宋体" w:hAnsi="Times New Roman" w:cs="Times New Roman" w:hint="eastAsia"/>
          <w:sz w:val="28"/>
          <w:szCs w:val="28"/>
        </w:rPr>
        <w:t>年限制性股票激励计划激励对象授予限制性股票的议案》，公司董事会薪酬与考核委员会对授予日的激励对象名单发表了核查意见。同意公司本激励计划的授予日为</w:t>
      </w:r>
      <w:r>
        <w:rPr>
          <w:rFonts w:ascii="Times New Roman" w:eastAsia="宋体" w:hAnsi="Times New Roman" w:cs="Times New Roman" w:hint="eastAsia"/>
          <w:sz w:val="28"/>
          <w:szCs w:val="28"/>
        </w:rPr>
        <w:t>2025</w:t>
      </w:r>
      <w:r>
        <w:rPr>
          <w:rFonts w:ascii="Times New Roman" w:eastAsia="宋体" w:hAnsi="Times New Roman" w:cs="Times New Roman" w:hint="eastAsia"/>
          <w:sz w:val="28"/>
          <w:szCs w:val="28"/>
        </w:rPr>
        <w:t>年</w:t>
      </w:r>
      <w:r>
        <w:rPr>
          <w:rFonts w:ascii="Times New Roman" w:eastAsia="宋体" w:hAnsi="Times New Roman" w:cs="Times New Roman" w:hint="eastAsia"/>
          <w:sz w:val="28"/>
          <w:szCs w:val="28"/>
        </w:rPr>
        <w:t>5</w:t>
      </w:r>
      <w:r>
        <w:rPr>
          <w:rFonts w:ascii="Times New Roman" w:eastAsia="宋体" w:hAnsi="Times New Roman" w:cs="Times New Roman" w:hint="eastAsia"/>
          <w:sz w:val="28"/>
          <w:szCs w:val="28"/>
        </w:rPr>
        <w:t>月</w:t>
      </w:r>
      <w:r>
        <w:rPr>
          <w:rFonts w:ascii="Times New Roman" w:eastAsia="宋体" w:hAnsi="Times New Roman" w:cs="Times New Roman" w:hint="eastAsia"/>
          <w:sz w:val="28"/>
          <w:szCs w:val="28"/>
        </w:rPr>
        <w:t>20</w:t>
      </w:r>
      <w:r>
        <w:rPr>
          <w:rFonts w:ascii="Times New Roman" w:eastAsia="宋体" w:hAnsi="Times New Roman" w:cs="Times New Roman" w:hint="eastAsia"/>
          <w:sz w:val="28"/>
          <w:szCs w:val="28"/>
        </w:rPr>
        <w:t>日，并同意以授予价格人民币</w:t>
      </w:r>
      <w:r>
        <w:rPr>
          <w:rFonts w:ascii="Times New Roman" w:eastAsia="宋体" w:hAnsi="Times New Roman" w:cs="Times New Roman" w:hint="eastAsia"/>
          <w:sz w:val="28"/>
          <w:szCs w:val="28"/>
        </w:rPr>
        <w:t>21.27</w:t>
      </w:r>
      <w:r>
        <w:rPr>
          <w:rFonts w:ascii="Times New Roman" w:eastAsia="宋体" w:hAnsi="Times New Roman" w:cs="Times New Roman" w:hint="eastAsia"/>
          <w:sz w:val="28"/>
          <w:szCs w:val="28"/>
        </w:rPr>
        <w:t>元</w:t>
      </w:r>
      <w:r>
        <w:rPr>
          <w:rFonts w:ascii="Times New Roman" w:eastAsia="宋体" w:hAnsi="Times New Roman" w:cs="Times New Roman" w:hint="eastAsia"/>
          <w:sz w:val="28"/>
          <w:szCs w:val="28"/>
        </w:rPr>
        <w:t>/</w:t>
      </w:r>
      <w:r>
        <w:rPr>
          <w:rFonts w:ascii="Times New Roman" w:eastAsia="宋体" w:hAnsi="Times New Roman" w:cs="Times New Roman" w:hint="eastAsia"/>
          <w:sz w:val="28"/>
          <w:szCs w:val="28"/>
        </w:rPr>
        <w:t>股向符合条件的</w:t>
      </w:r>
      <w:r>
        <w:rPr>
          <w:rFonts w:ascii="Times New Roman" w:eastAsia="宋体" w:hAnsi="Times New Roman" w:cs="Times New Roman" w:hint="eastAsia"/>
          <w:sz w:val="28"/>
          <w:szCs w:val="28"/>
        </w:rPr>
        <w:t>48</w:t>
      </w:r>
      <w:r>
        <w:rPr>
          <w:rFonts w:ascii="Times New Roman" w:eastAsia="宋体" w:hAnsi="Times New Roman" w:cs="Times New Roman" w:hint="eastAsia"/>
          <w:sz w:val="28"/>
          <w:szCs w:val="28"/>
        </w:rPr>
        <w:t>名激励对象授</w:t>
      </w:r>
      <w:r>
        <w:rPr>
          <w:rFonts w:ascii="Times New Roman" w:eastAsia="宋体" w:hAnsi="Times New Roman" w:cs="Times New Roman" w:hint="eastAsia"/>
          <w:sz w:val="28"/>
          <w:szCs w:val="28"/>
        </w:rPr>
        <w:lastRenderedPageBreak/>
        <w:t>予</w:t>
      </w:r>
      <w:r>
        <w:rPr>
          <w:rFonts w:ascii="Times New Roman" w:eastAsia="宋体" w:hAnsi="Times New Roman" w:cs="Times New Roman" w:hint="eastAsia"/>
          <w:sz w:val="28"/>
          <w:szCs w:val="28"/>
        </w:rPr>
        <w:t>314</w:t>
      </w:r>
      <w:r>
        <w:rPr>
          <w:rFonts w:ascii="Times New Roman" w:eastAsia="宋体" w:hAnsi="Times New Roman" w:cs="Times New Roman" w:hint="eastAsia"/>
          <w:sz w:val="28"/>
          <w:szCs w:val="28"/>
        </w:rPr>
        <w:t>万股限制性股票。详见公司同日在上海证券交易所网站（</w:t>
      </w:r>
      <w:r>
        <w:rPr>
          <w:rFonts w:ascii="Times New Roman" w:eastAsia="宋体" w:hAnsi="Times New Roman" w:cs="Times New Roman" w:hint="eastAsia"/>
          <w:sz w:val="28"/>
          <w:szCs w:val="28"/>
        </w:rPr>
        <w:t>www.sse.com.cn</w:t>
      </w:r>
      <w:r>
        <w:rPr>
          <w:rFonts w:ascii="Times New Roman" w:eastAsia="宋体" w:hAnsi="Times New Roman" w:cs="Times New Roman" w:hint="eastAsia"/>
          <w:sz w:val="28"/>
          <w:szCs w:val="28"/>
        </w:rPr>
        <w:t>）披露的相关公告</w:t>
      </w:r>
      <w:r>
        <w:rPr>
          <w:rFonts w:ascii="Times New Roman" w:eastAsia="宋体" w:hAnsi="Times New Roman" w:cs="Times New Roman"/>
          <w:sz w:val="28"/>
          <w:szCs w:val="28"/>
        </w:rPr>
        <w:t>。</w:t>
      </w:r>
    </w:p>
    <w:p w14:paraId="29E3B2F3" w14:textId="77777777" w:rsidR="00CC6399" w:rsidRDefault="009A6707">
      <w:pPr>
        <w:ind w:firstLine="560"/>
        <w:rPr>
          <w:rFonts w:ascii="Times New Roman" w:eastAsia="宋体" w:hAnsi="Times New Roman" w:cs="Times New Roman"/>
          <w:sz w:val="28"/>
          <w:szCs w:val="28"/>
        </w:rPr>
      </w:pPr>
      <w:r>
        <w:rPr>
          <w:rFonts w:ascii="Times New Roman" w:eastAsia="宋体" w:hAnsi="Times New Roman" w:cs="Times New Roman"/>
          <w:sz w:val="28"/>
          <w:szCs w:val="28"/>
        </w:rPr>
        <w:t>5</w:t>
      </w:r>
      <w:r>
        <w:rPr>
          <w:rFonts w:ascii="Times New Roman" w:eastAsia="宋体" w:hAnsi="Times New Roman" w:cs="Times New Roman" w:hint="eastAsia"/>
          <w:sz w:val="28"/>
          <w:szCs w:val="28"/>
        </w:rPr>
        <w:t>、</w:t>
      </w:r>
      <w:r>
        <w:rPr>
          <w:rFonts w:ascii="Times New Roman" w:eastAsia="宋体" w:hAnsi="Times New Roman" w:cs="Times New Roman"/>
          <w:sz w:val="28"/>
          <w:szCs w:val="28"/>
        </w:rPr>
        <w:t>2026</w:t>
      </w:r>
      <w:r>
        <w:rPr>
          <w:rFonts w:ascii="Times New Roman" w:eastAsia="宋体" w:hAnsi="Times New Roman" w:cs="Times New Roman"/>
          <w:sz w:val="28"/>
          <w:szCs w:val="28"/>
        </w:rPr>
        <w:t>年</w:t>
      </w:r>
      <w:r>
        <w:rPr>
          <w:rFonts w:ascii="Times New Roman" w:eastAsia="宋体" w:hAnsi="Times New Roman" w:cs="Times New Roman"/>
          <w:sz w:val="28"/>
          <w:szCs w:val="28"/>
        </w:rPr>
        <w:t>4</w:t>
      </w:r>
      <w:r>
        <w:rPr>
          <w:rFonts w:ascii="Times New Roman" w:eastAsia="宋体" w:hAnsi="Times New Roman" w:cs="Times New Roman"/>
          <w:sz w:val="28"/>
          <w:szCs w:val="28"/>
        </w:rPr>
        <w:t>月</w:t>
      </w:r>
      <w:r>
        <w:rPr>
          <w:rFonts w:ascii="Times New Roman" w:eastAsia="宋体" w:hAnsi="Times New Roman" w:cs="Times New Roman"/>
          <w:sz w:val="28"/>
          <w:szCs w:val="28"/>
        </w:rPr>
        <w:t>29</w:t>
      </w:r>
      <w:r>
        <w:rPr>
          <w:rFonts w:ascii="Times New Roman" w:eastAsia="宋体" w:hAnsi="Times New Roman" w:cs="Times New Roman"/>
          <w:sz w:val="28"/>
          <w:szCs w:val="28"/>
        </w:rPr>
        <w:t>日，公司召开第</w:t>
      </w:r>
      <w:r>
        <w:rPr>
          <w:rFonts w:ascii="Times New Roman" w:eastAsia="宋体" w:hAnsi="Times New Roman" w:cs="Times New Roman" w:hint="eastAsia"/>
          <w:sz w:val="28"/>
          <w:szCs w:val="28"/>
        </w:rPr>
        <w:t>四</w:t>
      </w:r>
      <w:r>
        <w:rPr>
          <w:rFonts w:ascii="Times New Roman" w:eastAsia="宋体" w:hAnsi="Times New Roman" w:cs="Times New Roman"/>
          <w:sz w:val="28"/>
          <w:szCs w:val="28"/>
        </w:rPr>
        <w:t>届董事会第</w:t>
      </w:r>
      <w:r>
        <w:rPr>
          <w:rFonts w:ascii="Times New Roman" w:eastAsia="宋体" w:hAnsi="Times New Roman" w:cs="Times New Roman" w:hint="eastAsia"/>
          <w:sz w:val="28"/>
          <w:szCs w:val="28"/>
        </w:rPr>
        <w:t>十三</w:t>
      </w:r>
      <w:r>
        <w:rPr>
          <w:rFonts w:ascii="Times New Roman" w:eastAsia="宋体" w:hAnsi="Times New Roman" w:cs="Times New Roman"/>
          <w:sz w:val="28"/>
          <w:szCs w:val="28"/>
        </w:rPr>
        <w:t>次会议审议通过了《</w:t>
      </w:r>
      <w:r>
        <w:rPr>
          <w:rFonts w:ascii="Times New Roman" w:eastAsia="宋体" w:hAnsi="Times New Roman" w:cs="Times New Roman" w:hint="eastAsia"/>
          <w:sz w:val="28"/>
          <w:szCs w:val="28"/>
        </w:rPr>
        <w:t>关于</w:t>
      </w:r>
      <w:r>
        <w:rPr>
          <w:rFonts w:ascii="Times New Roman" w:eastAsia="宋体" w:hAnsi="Times New Roman" w:cs="Times New Roman" w:hint="eastAsia"/>
          <w:sz w:val="28"/>
          <w:szCs w:val="28"/>
        </w:rPr>
        <w:t>2025</w:t>
      </w:r>
      <w:r>
        <w:rPr>
          <w:rFonts w:ascii="Times New Roman" w:eastAsia="宋体" w:hAnsi="Times New Roman" w:cs="Times New Roman" w:hint="eastAsia"/>
          <w:sz w:val="28"/>
          <w:szCs w:val="28"/>
        </w:rPr>
        <w:t>年限制性股票激励计划第一个归属期归属条件未成就暨作废部分已授予但尚未归属的限制性股票的议案》</w:t>
      </w:r>
      <w:r>
        <w:rPr>
          <w:rFonts w:ascii="Times New Roman" w:eastAsia="宋体" w:hAnsi="Times New Roman" w:cs="Times New Roman"/>
          <w:sz w:val="28"/>
          <w:szCs w:val="28"/>
        </w:rPr>
        <w:t>，</w:t>
      </w:r>
      <w:r>
        <w:rPr>
          <w:rFonts w:ascii="Times New Roman" w:eastAsia="宋体" w:hAnsi="Times New Roman" w:cs="Times New Roman" w:hint="eastAsia"/>
          <w:sz w:val="28"/>
          <w:szCs w:val="28"/>
        </w:rPr>
        <w:t>董事会薪酬与考核委员会</w:t>
      </w:r>
      <w:r>
        <w:rPr>
          <w:rFonts w:ascii="Times New Roman" w:eastAsia="宋体" w:hAnsi="Times New Roman" w:cs="Times New Roman"/>
          <w:sz w:val="28"/>
          <w:szCs w:val="28"/>
        </w:rPr>
        <w:t>对相关事项进行核实并发表了核查意见。</w:t>
      </w:r>
    </w:p>
    <w:p w14:paraId="3D1A1625" w14:textId="77777777" w:rsidR="00CC6399" w:rsidRDefault="009A6707">
      <w:pPr>
        <w:ind w:firstLine="562"/>
        <w:rPr>
          <w:rFonts w:ascii="Times New Roman" w:eastAsia="宋体" w:hAnsi="Times New Roman" w:cs="Times New Roman"/>
          <w:b/>
          <w:bCs/>
          <w:sz w:val="28"/>
          <w:szCs w:val="28"/>
        </w:rPr>
      </w:pPr>
      <w:r>
        <w:rPr>
          <w:rFonts w:ascii="Times New Roman" w:eastAsia="宋体" w:hAnsi="Times New Roman" w:cs="Times New Roman"/>
          <w:b/>
          <w:bCs/>
          <w:sz w:val="28"/>
          <w:szCs w:val="28"/>
        </w:rPr>
        <w:t>二、本次作废限制性股票的具体情况</w:t>
      </w:r>
    </w:p>
    <w:p w14:paraId="138630A7" w14:textId="04473BF1" w:rsidR="00CC6399" w:rsidRPr="00965123" w:rsidRDefault="009A6707" w:rsidP="00965123">
      <w:pPr>
        <w:ind w:firstLine="560"/>
        <w:rPr>
          <w:rFonts w:ascii="Times New Roman" w:eastAsia="宋体" w:hAnsi="Times New Roman" w:cs="Times New Roman"/>
          <w:sz w:val="28"/>
          <w:szCs w:val="28"/>
        </w:rPr>
      </w:pPr>
      <w:r>
        <w:rPr>
          <w:rFonts w:ascii="Times New Roman" w:eastAsia="宋体" w:hAnsi="Times New Roman" w:cs="Times New Roman" w:hint="eastAsia"/>
          <w:sz w:val="28"/>
          <w:szCs w:val="28"/>
        </w:rPr>
        <w:t>根据《深圳市有方科技股份有限公司</w:t>
      </w:r>
      <w:r>
        <w:rPr>
          <w:rFonts w:ascii="Times New Roman" w:eastAsia="宋体" w:hAnsi="Times New Roman" w:cs="Times New Roman" w:hint="eastAsia"/>
          <w:sz w:val="28"/>
          <w:szCs w:val="28"/>
        </w:rPr>
        <w:t>2025</w:t>
      </w:r>
      <w:r>
        <w:rPr>
          <w:rFonts w:ascii="Times New Roman" w:eastAsia="宋体" w:hAnsi="Times New Roman" w:cs="Times New Roman" w:hint="eastAsia"/>
          <w:sz w:val="28"/>
          <w:szCs w:val="28"/>
        </w:rPr>
        <w:t>年限制性股票激励计划》（以下简称“本激励计划”或“《激励计划》”）和《深圳市有方科技股份有限公司</w:t>
      </w:r>
      <w:r>
        <w:rPr>
          <w:rFonts w:ascii="Times New Roman" w:eastAsia="宋体" w:hAnsi="Times New Roman" w:cs="Times New Roman" w:hint="eastAsia"/>
          <w:sz w:val="28"/>
          <w:szCs w:val="28"/>
        </w:rPr>
        <w:t>2025</w:t>
      </w:r>
      <w:r>
        <w:rPr>
          <w:rFonts w:ascii="Times New Roman" w:eastAsia="宋体" w:hAnsi="Times New Roman" w:cs="Times New Roman" w:hint="eastAsia"/>
          <w:sz w:val="28"/>
          <w:szCs w:val="28"/>
        </w:rPr>
        <w:t>年限制性股票激励计划实施考核管理办法》的相关规定</w:t>
      </w:r>
      <w:r w:rsidRPr="00965123">
        <w:rPr>
          <w:rFonts w:ascii="Times New Roman" w:eastAsia="宋体" w:hAnsi="Times New Roman" w:cs="Times New Roman" w:hint="eastAsia"/>
          <w:sz w:val="28"/>
          <w:szCs w:val="28"/>
        </w:rPr>
        <w:t>，本激励计划第一个归属期公司层面业绩考核目标如下表所示：</w:t>
      </w:r>
    </w:p>
    <w:tbl>
      <w:tblPr>
        <w:tblStyle w:val="a9"/>
        <w:tblW w:w="0" w:type="auto"/>
        <w:tblBorders>
          <w:top w:val="single" w:sz="12" w:space="0" w:color="000000"/>
          <w:left w:val="single" w:sz="12" w:space="0" w:color="000000"/>
          <w:bottom w:val="single" w:sz="12" w:space="0" w:color="000000"/>
          <w:right w:val="single" w:sz="12" w:space="0" w:color="000000"/>
          <w:insideH w:val="none" w:sz="0" w:space="0" w:color="auto"/>
          <w:insideV w:val="none" w:sz="0" w:space="0" w:color="auto"/>
        </w:tblBorders>
        <w:tblLook w:val="04A0" w:firstRow="1" w:lastRow="0" w:firstColumn="1" w:lastColumn="0" w:noHBand="0" w:noVBand="1"/>
      </w:tblPr>
      <w:tblGrid>
        <w:gridCol w:w="1550"/>
        <w:gridCol w:w="1208"/>
        <w:gridCol w:w="2881"/>
        <w:gridCol w:w="2881"/>
      </w:tblGrid>
      <w:tr w:rsidR="00CC6399" w14:paraId="71D7C11A" w14:textId="77777777">
        <w:trPr>
          <w:trHeight w:val="23"/>
        </w:trPr>
        <w:tc>
          <w:tcPr>
            <w:tcW w:w="1550" w:type="dxa"/>
            <w:tcBorders>
              <w:bottom w:val="single" w:sz="4" w:space="0" w:color="000000"/>
              <w:right w:val="single" w:sz="4" w:space="0" w:color="000000"/>
              <w:tl2br w:val="nil"/>
              <w:tr2bl w:val="nil"/>
            </w:tcBorders>
            <w:shd w:val="clear" w:color="auto" w:fill="BEBEBE"/>
            <w:vAlign w:val="center"/>
          </w:tcPr>
          <w:p w14:paraId="57887629" w14:textId="77777777" w:rsidR="00CC6399" w:rsidRDefault="009A6707">
            <w:pPr>
              <w:ind w:firstLineChars="0" w:firstLine="0"/>
              <w:jc w:val="center"/>
              <w:rPr>
                <w:rFonts w:ascii="Times New Roman" w:eastAsia="宋体" w:hAnsi="Times New Roman" w:cs="Times New Roman"/>
                <w:b/>
                <w:color w:val="000000"/>
                <w:szCs w:val="21"/>
              </w:rPr>
            </w:pPr>
            <w:r>
              <w:rPr>
                <w:rFonts w:ascii="Times New Roman" w:eastAsia="宋体" w:hAnsi="Times New Roman" w:cs="Times New Roman" w:hint="eastAsia"/>
                <w:b/>
                <w:color w:val="000000"/>
                <w:szCs w:val="21"/>
              </w:rPr>
              <w:t>归属</w:t>
            </w:r>
            <w:r>
              <w:rPr>
                <w:rFonts w:ascii="Times New Roman" w:eastAsia="宋体" w:hAnsi="Times New Roman" w:cs="Times New Roman"/>
                <w:b/>
                <w:color w:val="000000"/>
                <w:szCs w:val="21"/>
              </w:rPr>
              <w:t>期</w:t>
            </w:r>
          </w:p>
        </w:tc>
        <w:tc>
          <w:tcPr>
            <w:tcW w:w="1208" w:type="dxa"/>
            <w:tcBorders>
              <w:left w:val="single" w:sz="4" w:space="0" w:color="000000"/>
              <w:tl2br w:val="nil"/>
              <w:tr2bl w:val="nil"/>
            </w:tcBorders>
            <w:shd w:val="clear" w:color="auto" w:fill="BEBEBE"/>
            <w:vAlign w:val="center"/>
          </w:tcPr>
          <w:p w14:paraId="51C9E60B" w14:textId="77777777" w:rsidR="00CC6399" w:rsidRDefault="009A6707">
            <w:pPr>
              <w:ind w:firstLineChars="0" w:firstLine="0"/>
              <w:jc w:val="center"/>
              <w:rPr>
                <w:rFonts w:ascii="Times New Roman" w:eastAsia="宋体" w:hAnsi="Times New Roman" w:cs="Times New Roman"/>
                <w:b/>
                <w:color w:val="000000"/>
                <w:szCs w:val="21"/>
              </w:rPr>
            </w:pPr>
            <w:r>
              <w:rPr>
                <w:rFonts w:ascii="Times New Roman" w:eastAsia="宋体" w:hAnsi="Times New Roman" w:cs="Times New Roman" w:hint="eastAsia"/>
                <w:b/>
                <w:color w:val="000000"/>
                <w:szCs w:val="21"/>
              </w:rPr>
              <w:t>对应考核年度</w:t>
            </w:r>
          </w:p>
        </w:tc>
        <w:tc>
          <w:tcPr>
            <w:tcW w:w="2881" w:type="dxa"/>
            <w:tcBorders>
              <w:left w:val="single" w:sz="4" w:space="0" w:color="000000"/>
              <w:bottom w:val="single" w:sz="4" w:space="0" w:color="000000"/>
              <w:tl2br w:val="nil"/>
              <w:tr2bl w:val="nil"/>
            </w:tcBorders>
            <w:shd w:val="clear" w:color="auto" w:fill="BEBEBE"/>
            <w:vAlign w:val="center"/>
          </w:tcPr>
          <w:p w14:paraId="327C8ED2" w14:textId="77777777" w:rsidR="00CC6399" w:rsidRDefault="009A6707">
            <w:pPr>
              <w:ind w:firstLineChars="0" w:firstLine="0"/>
              <w:jc w:val="center"/>
              <w:rPr>
                <w:rFonts w:ascii="Times New Roman" w:eastAsia="宋体" w:hAnsi="Times New Roman" w:cs="Times New Roman"/>
                <w:b/>
                <w:color w:val="000000"/>
                <w:szCs w:val="21"/>
              </w:rPr>
            </w:pPr>
            <w:r>
              <w:rPr>
                <w:rFonts w:ascii="Times New Roman" w:eastAsia="宋体" w:hAnsi="Times New Roman" w:cs="Times New Roman" w:hint="eastAsia"/>
                <w:b/>
                <w:color w:val="000000"/>
                <w:szCs w:val="21"/>
              </w:rPr>
              <w:t>年度营业收入相对于</w:t>
            </w:r>
            <w:r>
              <w:rPr>
                <w:rFonts w:ascii="Times New Roman" w:eastAsia="宋体" w:hAnsi="Times New Roman" w:cs="Times New Roman" w:hint="eastAsia"/>
                <w:b/>
                <w:color w:val="000000"/>
                <w:szCs w:val="21"/>
              </w:rPr>
              <w:t>2024</w:t>
            </w:r>
            <w:r>
              <w:rPr>
                <w:rFonts w:ascii="Times New Roman" w:eastAsia="宋体" w:hAnsi="Times New Roman" w:cs="Times New Roman" w:hint="eastAsia"/>
                <w:b/>
                <w:color w:val="000000"/>
                <w:szCs w:val="21"/>
              </w:rPr>
              <w:t>年的增长率（</w:t>
            </w:r>
            <w:r>
              <w:rPr>
                <w:rFonts w:ascii="Times New Roman" w:eastAsia="宋体" w:hAnsi="Times New Roman" w:cs="Times New Roman" w:hint="eastAsia"/>
                <w:b/>
                <w:color w:val="000000"/>
                <w:szCs w:val="21"/>
              </w:rPr>
              <w:t>Am</w:t>
            </w:r>
            <w:r>
              <w:rPr>
                <w:rFonts w:ascii="Times New Roman" w:eastAsia="宋体" w:hAnsi="Times New Roman" w:cs="Times New Roman" w:hint="eastAsia"/>
                <w:b/>
                <w:color w:val="000000"/>
                <w:szCs w:val="21"/>
              </w:rPr>
              <w:t>）</w:t>
            </w:r>
          </w:p>
        </w:tc>
        <w:tc>
          <w:tcPr>
            <w:tcW w:w="2881" w:type="dxa"/>
            <w:tcBorders>
              <w:left w:val="single" w:sz="4" w:space="0" w:color="000000"/>
              <w:bottom w:val="single" w:sz="4" w:space="0" w:color="000000"/>
              <w:tl2br w:val="nil"/>
              <w:tr2bl w:val="nil"/>
            </w:tcBorders>
            <w:shd w:val="clear" w:color="auto" w:fill="BEBEBE"/>
            <w:vAlign w:val="center"/>
          </w:tcPr>
          <w:p w14:paraId="0E705107" w14:textId="77777777" w:rsidR="00CC6399" w:rsidRDefault="009A6707">
            <w:pPr>
              <w:ind w:firstLineChars="0" w:firstLine="0"/>
              <w:jc w:val="center"/>
              <w:rPr>
                <w:rFonts w:ascii="Times New Roman" w:eastAsia="宋体" w:hAnsi="Times New Roman" w:cs="Times New Roman"/>
                <w:b/>
                <w:color w:val="000000"/>
                <w:szCs w:val="21"/>
              </w:rPr>
            </w:pPr>
            <w:r>
              <w:rPr>
                <w:rFonts w:ascii="Times New Roman" w:eastAsia="宋体" w:hAnsi="Times New Roman" w:cs="Times New Roman" w:hint="eastAsia"/>
                <w:b/>
                <w:color w:val="000000"/>
                <w:szCs w:val="21"/>
              </w:rPr>
              <w:t>年度净利润相对于</w:t>
            </w:r>
            <w:r>
              <w:rPr>
                <w:rFonts w:ascii="Times New Roman" w:eastAsia="宋体" w:hAnsi="Times New Roman" w:cs="Times New Roman" w:hint="eastAsia"/>
                <w:b/>
                <w:color w:val="000000"/>
                <w:szCs w:val="21"/>
              </w:rPr>
              <w:t>2024</w:t>
            </w:r>
            <w:r>
              <w:rPr>
                <w:rFonts w:ascii="Times New Roman" w:eastAsia="宋体" w:hAnsi="Times New Roman" w:cs="Times New Roman" w:hint="eastAsia"/>
                <w:b/>
                <w:color w:val="000000"/>
                <w:szCs w:val="21"/>
              </w:rPr>
              <w:t>年的增长率（</w:t>
            </w:r>
            <w:proofErr w:type="spellStart"/>
            <w:r>
              <w:rPr>
                <w:rFonts w:ascii="Times New Roman" w:eastAsia="宋体" w:hAnsi="Times New Roman" w:cs="Times New Roman" w:hint="eastAsia"/>
                <w:b/>
                <w:color w:val="000000"/>
                <w:szCs w:val="21"/>
              </w:rPr>
              <w:t>Bm</w:t>
            </w:r>
            <w:proofErr w:type="spellEnd"/>
            <w:r>
              <w:rPr>
                <w:rFonts w:ascii="Times New Roman" w:eastAsia="宋体" w:hAnsi="Times New Roman" w:cs="Times New Roman" w:hint="eastAsia"/>
                <w:b/>
                <w:color w:val="000000"/>
                <w:szCs w:val="21"/>
              </w:rPr>
              <w:t>）</w:t>
            </w:r>
          </w:p>
        </w:tc>
      </w:tr>
      <w:tr w:rsidR="00CC6399" w14:paraId="16B0BD43" w14:textId="77777777">
        <w:trPr>
          <w:trHeight w:val="23"/>
        </w:trPr>
        <w:tc>
          <w:tcPr>
            <w:tcW w:w="1550" w:type="dxa"/>
            <w:tcBorders>
              <w:top w:val="single" w:sz="4" w:space="0" w:color="000000"/>
              <w:bottom w:val="single" w:sz="4" w:space="0" w:color="000000"/>
              <w:right w:val="single" w:sz="4" w:space="0" w:color="000000"/>
              <w:tl2br w:val="nil"/>
              <w:tr2bl w:val="nil"/>
            </w:tcBorders>
            <w:shd w:val="clear" w:color="auto" w:fill="FFFFFF"/>
            <w:vAlign w:val="center"/>
          </w:tcPr>
          <w:p w14:paraId="55C5974E" w14:textId="77777777" w:rsidR="00CC6399" w:rsidRDefault="009A6707">
            <w:pPr>
              <w:ind w:firstLineChars="0" w:firstLine="0"/>
              <w:jc w:val="center"/>
              <w:rPr>
                <w:rFonts w:ascii="Times New Roman" w:eastAsia="宋体" w:hAnsi="Times New Roman" w:cs="Times New Roman"/>
                <w:color w:val="000000"/>
                <w:szCs w:val="21"/>
              </w:rPr>
            </w:pPr>
            <w:r>
              <w:rPr>
                <w:rFonts w:ascii="Times New Roman" w:eastAsia="宋体" w:hAnsi="Times New Roman" w:cs="Times New Roman"/>
                <w:color w:val="000000"/>
                <w:szCs w:val="21"/>
              </w:rPr>
              <w:t>第一个</w:t>
            </w:r>
            <w:r>
              <w:rPr>
                <w:rFonts w:ascii="Times New Roman" w:eastAsia="宋体" w:hAnsi="Times New Roman" w:cs="Times New Roman" w:hint="eastAsia"/>
                <w:color w:val="000000"/>
                <w:szCs w:val="21"/>
              </w:rPr>
              <w:t>归属</w:t>
            </w:r>
            <w:r>
              <w:rPr>
                <w:rFonts w:ascii="Times New Roman" w:eastAsia="宋体" w:hAnsi="Times New Roman" w:cs="Times New Roman"/>
                <w:color w:val="000000"/>
                <w:szCs w:val="21"/>
              </w:rPr>
              <w:t>期</w:t>
            </w:r>
          </w:p>
        </w:tc>
        <w:tc>
          <w:tcPr>
            <w:tcW w:w="1208" w:type="dxa"/>
            <w:tcBorders>
              <w:top w:val="single" w:sz="4" w:space="0" w:color="000000"/>
              <w:left w:val="single" w:sz="4" w:space="0" w:color="000000"/>
              <w:bottom w:val="single" w:sz="4" w:space="0" w:color="000000"/>
              <w:tl2br w:val="nil"/>
              <w:tr2bl w:val="nil"/>
            </w:tcBorders>
            <w:shd w:val="clear" w:color="auto" w:fill="FFFFFF"/>
            <w:vAlign w:val="center"/>
          </w:tcPr>
          <w:p w14:paraId="09F6647C" w14:textId="77777777" w:rsidR="00CC6399" w:rsidRDefault="009A6707">
            <w:pPr>
              <w:ind w:firstLineChars="0" w:firstLine="0"/>
              <w:jc w:val="center"/>
              <w:rPr>
                <w:rFonts w:ascii="Times New Roman" w:eastAsia="宋体" w:hAnsi="Times New Roman" w:cs="Times New Roman"/>
                <w:color w:val="000000"/>
                <w:szCs w:val="21"/>
              </w:rPr>
            </w:pPr>
            <w:r>
              <w:rPr>
                <w:rFonts w:ascii="Times New Roman" w:eastAsia="宋体" w:hAnsi="Times New Roman" w:cs="Times New Roman" w:hint="eastAsia"/>
                <w:color w:val="000000"/>
                <w:szCs w:val="21"/>
              </w:rPr>
              <w:t>2025</w:t>
            </w:r>
            <w:r>
              <w:rPr>
                <w:rFonts w:ascii="Times New Roman" w:eastAsia="宋体" w:hAnsi="Times New Roman" w:cs="Times New Roman" w:hint="eastAsia"/>
                <w:color w:val="000000"/>
                <w:szCs w:val="21"/>
              </w:rPr>
              <w:t>年</w:t>
            </w:r>
          </w:p>
        </w:tc>
        <w:tc>
          <w:tcPr>
            <w:tcW w:w="2881" w:type="dxa"/>
            <w:tcBorders>
              <w:top w:val="single" w:sz="4" w:space="0" w:color="000000"/>
              <w:left w:val="single" w:sz="4" w:space="0" w:color="000000"/>
              <w:bottom w:val="single" w:sz="4" w:space="0" w:color="000000"/>
              <w:tl2br w:val="nil"/>
              <w:tr2bl w:val="nil"/>
            </w:tcBorders>
            <w:shd w:val="clear" w:color="auto" w:fill="FFFFFF"/>
            <w:vAlign w:val="center"/>
          </w:tcPr>
          <w:p w14:paraId="637C41FC" w14:textId="77777777" w:rsidR="00CC6399" w:rsidRDefault="009A6707">
            <w:pPr>
              <w:ind w:firstLineChars="0" w:firstLine="0"/>
              <w:jc w:val="center"/>
              <w:rPr>
                <w:rFonts w:ascii="Times New Roman" w:eastAsia="宋体" w:hAnsi="Times New Roman" w:cs="Times New Roman"/>
                <w:color w:val="000000"/>
                <w:szCs w:val="21"/>
              </w:rPr>
            </w:pPr>
            <w:r>
              <w:rPr>
                <w:rFonts w:ascii="Times New Roman" w:eastAsia="宋体" w:hAnsi="Times New Roman" w:cs="Times New Roman" w:hint="eastAsia"/>
                <w:color w:val="000000"/>
                <w:szCs w:val="21"/>
              </w:rPr>
              <w:t>10%</w:t>
            </w:r>
          </w:p>
        </w:tc>
        <w:tc>
          <w:tcPr>
            <w:tcW w:w="2881" w:type="dxa"/>
            <w:tcBorders>
              <w:top w:val="single" w:sz="4" w:space="0" w:color="000000"/>
              <w:left w:val="single" w:sz="4" w:space="0" w:color="000000"/>
              <w:bottom w:val="single" w:sz="4" w:space="0" w:color="000000"/>
              <w:tl2br w:val="nil"/>
              <w:tr2bl w:val="nil"/>
            </w:tcBorders>
            <w:shd w:val="clear" w:color="auto" w:fill="FFFFFF"/>
            <w:vAlign w:val="center"/>
          </w:tcPr>
          <w:p w14:paraId="08C56E05" w14:textId="77777777" w:rsidR="00CC6399" w:rsidRDefault="009A6707">
            <w:pPr>
              <w:ind w:firstLineChars="0" w:firstLine="0"/>
              <w:jc w:val="center"/>
              <w:rPr>
                <w:rFonts w:ascii="Times New Roman" w:eastAsia="宋体" w:hAnsi="Times New Roman" w:cs="Times New Roman"/>
                <w:color w:val="000000"/>
                <w:szCs w:val="21"/>
              </w:rPr>
            </w:pPr>
            <w:r>
              <w:rPr>
                <w:rFonts w:ascii="Times New Roman" w:eastAsia="宋体" w:hAnsi="Times New Roman" w:cs="Times New Roman" w:hint="eastAsia"/>
                <w:color w:val="000000"/>
                <w:szCs w:val="21"/>
              </w:rPr>
              <w:t>10%</w:t>
            </w:r>
          </w:p>
        </w:tc>
      </w:tr>
      <w:tr w:rsidR="00CC6399" w14:paraId="5377332C" w14:textId="77777777">
        <w:trPr>
          <w:trHeight w:val="23"/>
        </w:trPr>
        <w:tc>
          <w:tcPr>
            <w:tcW w:w="1550" w:type="dxa"/>
            <w:tcBorders>
              <w:top w:val="single" w:sz="4" w:space="0" w:color="000000"/>
              <w:bottom w:val="single" w:sz="4" w:space="0" w:color="000000"/>
              <w:right w:val="single" w:sz="4" w:space="0" w:color="000000"/>
              <w:tl2br w:val="nil"/>
              <w:tr2bl w:val="nil"/>
            </w:tcBorders>
            <w:shd w:val="clear" w:color="auto" w:fill="FFFFFF"/>
            <w:vAlign w:val="center"/>
          </w:tcPr>
          <w:p w14:paraId="6D099940" w14:textId="77777777" w:rsidR="00CC6399" w:rsidRDefault="009A6707">
            <w:pPr>
              <w:ind w:firstLineChars="0" w:firstLine="0"/>
              <w:jc w:val="center"/>
              <w:rPr>
                <w:rFonts w:ascii="Times New Roman" w:eastAsia="宋体" w:hAnsi="Times New Roman" w:cs="Times New Roman"/>
                <w:color w:val="000000"/>
                <w:szCs w:val="21"/>
              </w:rPr>
            </w:pPr>
            <w:r>
              <w:rPr>
                <w:rFonts w:ascii="Times New Roman" w:eastAsia="宋体" w:hAnsi="Times New Roman" w:cs="Times New Roman"/>
                <w:color w:val="000000"/>
                <w:szCs w:val="21"/>
              </w:rPr>
              <w:t>第二个</w:t>
            </w:r>
            <w:r>
              <w:rPr>
                <w:rFonts w:ascii="Times New Roman" w:eastAsia="宋体" w:hAnsi="Times New Roman" w:cs="Times New Roman" w:hint="eastAsia"/>
                <w:color w:val="000000"/>
                <w:szCs w:val="21"/>
              </w:rPr>
              <w:t>归属</w:t>
            </w:r>
            <w:r>
              <w:rPr>
                <w:rFonts w:ascii="Times New Roman" w:eastAsia="宋体" w:hAnsi="Times New Roman" w:cs="Times New Roman"/>
                <w:color w:val="000000"/>
                <w:szCs w:val="21"/>
              </w:rPr>
              <w:t>期</w:t>
            </w:r>
          </w:p>
        </w:tc>
        <w:tc>
          <w:tcPr>
            <w:tcW w:w="1208" w:type="dxa"/>
            <w:tcBorders>
              <w:top w:val="single" w:sz="4" w:space="0" w:color="000000"/>
              <w:left w:val="single" w:sz="4" w:space="0" w:color="000000"/>
              <w:bottom w:val="single" w:sz="4" w:space="0" w:color="000000"/>
              <w:tl2br w:val="nil"/>
              <w:tr2bl w:val="nil"/>
            </w:tcBorders>
            <w:shd w:val="clear" w:color="auto" w:fill="FFFFFF"/>
            <w:vAlign w:val="center"/>
          </w:tcPr>
          <w:p w14:paraId="514882B1" w14:textId="77777777" w:rsidR="00CC6399" w:rsidRDefault="009A6707">
            <w:pPr>
              <w:ind w:firstLineChars="0" w:firstLine="0"/>
              <w:jc w:val="center"/>
              <w:rPr>
                <w:rFonts w:ascii="Times New Roman" w:eastAsia="宋体" w:hAnsi="Times New Roman" w:cs="Times New Roman"/>
                <w:color w:val="000000"/>
                <w:szCs w:val="21"/>
              </w:rPr>
            </w:pPr>
            <w:r>
              <w:rPr>
                <w:rFonts w:ascii="Times New Roman" w:eastAsia="宋体" w:hAnsi="Times New Roman" w:cs="Times New Roman" w:hint="eastAsia"/>
                <w:color w:val="000000"/>
                <w:szCs w:val="21"/>
              </w:rPr>
              <w:t>2026</w:t>
            </w:r>
            <w:r>
              <w:rPr>
                <w:rFonts w:ascii="Times New Roman" w:eastAsia="宋体" w:hAnsi="Times New Roman" w:cs="Times New Roman" w:hint="eastAsia"/>
                <w:color w:val="000000"/>
                <w:szCs w:val="21"/>
              </w:rPr>
              <w:t>年</w:t>
            </w:r>
          </w:p>
        </w:tc>
        <w:tc>
          <w:tcPr>
            <w:tcW w:w="2881" w:type="dxa"/>
            <w:tcBorders>
              <w:top w:val="single" w:sz="4" w:space="0" w:color="000000"/>
              <w:left w:val="single" w:sz="4" w:space="0" w:color="000000"/>
              <w:bottom w:val="single" w:sz="4" w:space="0" w:color="000000"/>
              <w:tl2br w:val="nil"/>
              <w:tr2bl w:val="nil"/>
            </w:tcBorders>
            <w:shd w:val="clear" w:color="auto" w:fill="FFFFFF"/>
            <w:vAlign w:val="center"/>
          </w:tcPr>
          <w:p w14:paraId="5EF76067" w14:textId="77777777" w:rsidR="00CC6399" w:rsidRDefault="009A6707">
            <w:pPr>
              <w:ind w:firstLineChars="0" w:firstLine="0"/>
              <w:jc w:val="center"/>
              <w:rPr>
                <w:rFonts w:ascii="Times New Roman" w:eastAsia="宋体" w:hAnsi="Times New Roman" w:cs="Times New Roman"/>
                <w:color w:val="000000"/>
                <w:szCs w:val="21"/>
              </w:rPr>
            </w:pPr>
            <w:r>
              <w:rPr>
                <w:rFonts w:ascii="Times New Roman" w:eastAsia="宋体" w:hAnsi="Times New Roman" w:cs="Times New Roman" w:hint="eastAsia"/>
                <w:color w:val="000000"/>
                <w:szCs w:val="21"/>
              </w:rPr>
              <w:t>20%</w:t>
            </w:r>
          </w:p>
        </w:tc>
        <w:tc>
          <w:tcPr>
            <w:tcW w:w="2881" w:type="dxa"/>
            <w:tcBorders>
              <w:top w:val="single" w:sz="4" w:space="0" w:color="000000"/>
              <w:left w:val="single" w:sz="4" w:space="0" w:color="000000"/>
              <w:bottom w:val="single" w:sz="4" w:space="0" w:color="000000"/>
              <w:tl2br w:val="nil"/>
              <w:tr2bl w:val="nil"/>
            </w:tcBorders>
            <w:shd w:val="clear" w:color="auto" w:fill="FFFFFF"/>
            <w:vAlign w:val="center"/>
          </w:tcPr>
          <w:p w14:paraId="4DA8D1F7" w14:textId="77777777" w:rsidR="00CC6399" w:rsidRDefault="009A6707">
            <w:pPr>
              <w:numPr>
                <w:ilvl w:val="255"/>
                <w:numId w:val="0"/>
              </w:numPr>
              <w:jc w:val="center"/>
              <w:rPr>
                <w:rFonts w:ascii="Times New Roman" w:eastAsia="宋体" w:hAnsi="Times New Roman" w:cs="Times New Roman"/>
                <w:color w:val="000000"/>
                <w:szCs w:val="21"/>
              </w:rPr>
            </w:pPr>
            <w:r>
              <w:rPr>
                <w:rFonts w:ascii="Times New Roman" w:eastAsia="宋体" w:hAnsi="Times New Roman" w:cs="Times New Roman" w:hint="eastAsia"/>
                <w:color w:val="000000"/>
                <w:szCs w:val="21"/>
              </w:rPr>
              <w:t>20%</w:t>
            </w:r>
          </w:p>
        </w:tc>
      </w:tr>
      <w:tr w:rsidR="00CC6399" w14:paraId="324B096B" w14:textId="77777777">
        <w:trPr>
          <w:trHeight w:val="23"/>
        </w:trPr>
        <w:tc>
          <w:tcPr>
            <w:tcW w:w="1550" w:type="dxa"/>
            <w:tcBorders>
              <w:top w:val="single" w:sz="4" w:space="0" w:color="000000"/>
              <w:bottom w:val="single" w:sz="4" w:space="0" w:color="000000"/>
              <w:right w:val="single" w:sz="4" w:space="0" w:color="000000"/>
            </w:tcBorders>
            <w:shd w:val="clear" w:color="auto" w:fill="FFFFFF"/>
            <w:vAlign w:val="center"/>
          </w:tcPr>
          <w:p w14:paraId="5F04428C" w14:textId="77777777" w:rsidR="00CC6399" w:rsidRDefault="009A6707">
            <w:pPr>
              <w:ind w:firstLineChars="0" w:firstLine="0"/>
              <w:jc w:val="center"/>
              <w:rPr>
                <w:rFonts w:ascii="Times New Roman" w:eastAsia="宋体" w:hAnsi="Times New Roman" w:cs="Times New Roman"/>
                <w:color w:val="000000"/>
                <w:szCs w:val="21"/>
              </w:rPr>
            </w:pPr>
            <w:r>
              <w:rPr>
                <w:rFonts w:ascii="Times New Roman" w:eastAsia="宋体" w:hAnsi="Times New Roman" w:cs="Times New Roman" w:hint="eastAsia"/>
                <w:color w:val="000000"/>
                <w:szCs w:val="21"/>
              </w:rPr>
              <w:t>第三个归属期</w:t>
            </w:r>
          </w:p>
        </w:tc>
        <w:tc>
          <w:tcPr>
            <w:tcW w:w="120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77D1BBA" w14:textId="77777777" w:rsidR="00CC6399" w:rsidRDefault="009A6707">
            <w:pPr>
              <w:ind w:firstLineChars="0" w:firstLine="0"/>
              <w:jc w:val="center"/>
              <w:rPr>
                <w:rFonts w:ascii="Times New Roman" w:eastAsia="宋体" w:hAnsi="Times New Roman" w:cs="Times New Roman"/>
                <w:color w:val="000000"/>
                <w:szCs w:val="21"/>
              </w:rPr>
            </w:pPr>
            <w:r>
              <w:rPr>
                <w:rFonts w:ascii="Times New Roman" w:eastAsia="宋体" w:hAnsi="Times New Roman" w:cs="Times New Roman" w:hint="eastAsia"/>
                <w:color w:val="000000"/>
                <w:szCs w:val="21"/>
              </w:rPr>
              <w:t>2027</w:t>
            </w:r>
            <w:r>
              <w:rPr>
                <w:rFonts w:ascii="Times New Roman" w:eastAsia="宋体" w:hAnsi="Times New Roman" w:cs="Times New Roman" w:hint="eastAsia"/>
                <w:color w:val="000000"/>
                <w:szCs w:val="21"/>
              </w:rPr>
              <w:t>年</w:t>
            </w:r>
          </w:p>
        </w:tc>
        <w:tc>
          <w:tcPr>
            <w:tcW w:w="288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878AE85" w14:textId="77777777" w:rsidR="00CC6399" w:rsidRDefault="009A6707">
            <w:pPr>
              <w:ind w:firstLineChars="0" w:firstLine="0"/>
              <w:jc w:val="center"/>
              <w:rPr>
                <w:rFonts w:ascii="Times New Roman" w:eastAsia="宋体" w:hAnsi="Times New Roman" w:cs="Times New Roman"/>
                <w:color w:val="000000"/>
                <w:szCs w:val="21"/>
              </w:rPr>
            </w:pPr>
            <w:r>
              <w:rPr>
                <w:rFonts w:ascii="Times New Roman" w:eastAsia="宋体" w:hAnsi="Times New Roman" w:cs="Times New Roman" w:hint="eastAsia"/>
                <w:color w:val="000000"/>
                <w:szCs w:val="21"/>
              </w:rPr>
              <w:t>30%</w:t>
            </w:r>
          </w:p>
        </w:tc>
        <w:tc>
          <w:tcPr>
            <w:tcW w:w="2881" w:type="dxa"/>
            <w:tcBorders>
              <w:top w:val="single" w:sz="4" w:space="0" w:color="000000"/>
              <w:left w:val="single" w:sz="4" w:space="0" w:color="000000"/>
              <w:bottom w:val="single" w:sz="4" w:space="0" w:color="000000"/>
            </w:tcBorders>
            <w:shd w:val="clear" w:color="auto" w:fill="FFFFFF"/>
            <w:vAlign w:val="center"/>
          </w:tcPr>
          <w:p w14:paraId="31ECD895" w14:textId="77777777" w:rsidR="00CC6399" w:rsidRDefault="009A6707">
            <w:pPr>
              <w:numPr>
                <w:ilvl w:val="255"/>
                <w:numId w:val="0"/>
              </w:numPr>
              <w:jc w:val="center"/>
              <w:rPr>
                <w:rFonts w:ascii="Times New Roman" w:eastAsia="宋体" w:hAnsi="Times New Roman" w:cs="Times New Roman"/>
                <w:color w:val="000000"/>
                <w:szCs w:val="21"/>
              </w:rPr>
            </w:pPr>
            <w:r>
              <w:rPr>
                <w:rFonts w:ascii="Times New Roman" w:eastAsia="宋体" w:hAnsi="Times New Roman" w:cs="Times New Roman" w:hint="eastAsia"/>
                <w:color w:val="000000"/>
                <w:szCs w:val="21"/>
              </w:rPr>
              <w:t>30%</w:t>
            </w:r>
          </w:p>
        </w:tc>
      </w:tr>
      <w:tr w:rsidR="00CC6399" w14:paraId="2D770564" w14:textId="77777777">
        <w:trPr>
          <w:trHeight w:val="23"/>
        </w:trPr>
        <w:tc>
          <w:tcPr>
            <w:tcW w:w="2758" w:type="dxa"/>
            <w:gridSpan w:val="2"/>
            <w:tcBorders>
              <w:top w:val="single" w:sz="4" w:space="0" w:color="000000"/>
              <w:bottom w:val="single" w:sz="4" w:space="0" w:color="000000"/>
              <w:right w:val="single" w:sz="4" w:space="0" w:color="000000"/>
            </w:tcBorders>
            <w:shd w:val="clear" w:color="auto" w:fill="BEBEBE"/>
            <w:vAlign w:val="center"/>
          </w:tcPr>
          <w:p w14:paraId="084B76C4" w14:textId="77777777" w:rsidR="00CC6399" w:rsidRDefault="009A6707">
            <w:pPr>
              <w:ind w:firstLineChars="0" w:firstLine="0"/>
              <w:jc w:val="center"/>
              <w:rPr>
                <w:rFonts w:ascii="Times New Roman" w:eastAsia="宋体" w:hAnsi="Times New Roman" w:cs="Times New Roman"/>
                <w:b/>
                <w:color w:val="000000"/>
                <w:szCs w:val="21"/>
              </w:rPr>
            </w:pPr>
            <w:r>
              <w:rPr>
                <w:rFonts w:ascii="Times New Roman" w:eastAsia="宋体" w:hAnsi="Times New Roman" w:cs="Times New Roman"/>
                <w:b/>
                <w:color w:val="000000"/>
                <w:szCs w:val="21"/>
              </w:rPr>
              <w:t>考核指标</w:t>
            </w:r>
          </w:p>
        </w:tc>
        <w:tc>
          <w:tcPr>
            <w:tcW w:w="2881" w:type="dxa"/>
            <w:tcBorders>
              <w:top w:val="single" w:sz="4" w:space="0" w:color="000000"/>
              <w:left w:val="single" w:sz="4" w:space="0" w:color="000000"/>
              <w:bottom w:val="single" w:sz="4" w:space="0" w:color="000000"/>
              <w:right w:val="single" w:sz="4" w:space="0" w:color="000000"/>
            </w:tcBorders>
            <w:shd w:val="clear" w:color="auto" w:fill="BEBEBE"/>
            <w:vAlign w:val="center"/>
          </w:tcPr>
          <w:p w14:paraId="7B653232" w14:textId="77777777" w:rsidR="00CC6399" w:rsidRDefault="009A6707">
            <w:pPr>
              <w:ind w:firstLineChars="0" w:firstLine="0"/>
              <w:jc w:val="center"/>
              <w:rPr>
                <w:rFonts w:ascii="Times New Roman" w:eastAsia="宋体" w:hAnsi="Times New Roman" w:cs="Times New Roman"/>
                <w:b/>
                <w:color w:val="000000"/>
                <w:szCs w:val="21"/>
              </w:rPr>
            </w:pPr>
            <w:r>
              <w:rPr>
                <w:rFonts w:ascii="Times New Roman" w:eastAsia="宋体" w:hAnsi="Times New Roman" w:cs="Times New Roman" w:hint="eastAsia"/>
                <w:b/>
                <w:color w:val="000000"/>
                <w:szCs w:val="21"/>
              </w:rPr>
              <w:t>业绩完成度</w:t>
            </w:r>
          </w:p>
        </w:tc>
        <w:tc>
          <w:tcPr>
            <w:tcW w:w="2881" w:type="dxa"/>
            <w:tcBorders>
              <w:top w:val="single" w:sz="4" w:space="0" w:color="000000"/>
              <w:left w:val="single" w:sz="4" w:space="0" w:color="000000"/>
              <w:bottom w:val="single" w:sz="4" w:space="0" w:color="000000"/>
            </w:tcBorders>
            <w:shd w:val="clear" w:color="auto" w:fill="BEBEBE"/>
            <w:vAlign w:val="center"/>
          </w:tcPr>
          <w:p w14:paraId="676070FA" w14:textId="77777777" w:rsidR="00CC6399" w:rsidRDefault="009A6707">
            <w:pPr>
              <w:ind w:firstLineChars="0" w:firstLine="0"/>
              <w:jc w:val="center"/>
              <w:rPr>
                <w:rFonts w:ascii="Times New Roman" w:eastAsia="宋体" w:hAnsi="Times New Roman" w:cs="Times New Roman"/>
                <w:b/>
                <w:color w:val="000000"/>
                <w:szCs w:val="21"/>
              </w:rPr>
            </w:pPr>
            <w:r>
              <w:rPr>
                <w:rFonts w:ascii="Times New Roman" w:eastAsia="宋体" w:hAnsi="Times New Roman" w:cs="Times New Roman"/>
                <w:b/>
                <w:color w:val="000000"/>
                <w:szCs w:val="21"/>
              </w:rPr>
              <w:t>公司层面归属比例（</w:t>
            </w:r>
            <w:r>
              <w:rPr>
                <w:rFonts w:ascii="Times New Roman" w:eastAsia="宋体" w:hAnsi="Times New Roman" w:cs="Times New Roman"/>
                <w:b/>
                <w:color w:val="000000"/>
                <w:szCs w:val="21"/>
              </w:rPr>
              <w:t>X</w:t>
            </w:r>
            <w:r>
              <w:rPr>
                <w:rFonts w:ascii="Times New Roman" w:eastAsia="宋体" w:hAnsi="Times New Roman" w:cs="Times New Roman"/>
                <w:b/>
                <w:color w:val="000000"/>
                <w:szCs w:val="21"/>
              </w:rPr>
              <w:t>）</w:t>
            </w:r>
          </w:p>
        </w:tc>
      </w:tr>
      <w:tr w:rsidR="00CC6399" w14:paraId="7682714B" w14:textId="77777777">
        <w:trPr>
          <w:trHeight w:val="23"/>
        </w:trPr>
        <w:tc>
          <w:tcPr>
            <w:tcW w:w="2758" w:type="dxa"/>
            <w:gridSpan w:val="2"/>
            <w:vMerge w:val="restart"/>
            <w:tcBorders>
              <w:top w:val="single" w:sz="4" w:space="0" w:color="000000"/>
              <w:right w:val="single" w:sz="4" w:space="0" w:color="000000"/>
              <w:tl2br w:val="nil"/>
              <w:tr2bl w:val="nil"/>
            </w:tcBorders>
            <w:shd w:val="clear" w:color="auto" w:fill="FFFFFF"/>
            <w:vAlign w:val="center"/>
          </w:tcPr>
          <w:p w14:paraId="437A72D4" w14:textId="77777777" w:rsidR="00CC6399" w:rsidRDefault="009A6707">
            <w:pPr>
              <w:ind w:firstLineChars="0" w:firstLine="0"/>
              <w:jc w:val="center"/>
              <w:rPr>
                <w:rFonts w:ascii="Times New Roman" w:eastAsia="宋体" w:hAnsi="Times New Roman" w:cs="Times New Roman"/>
                <w:color w:val="000000"/>
                <w:szCs w:val="21"/>
              </w:rPr>
            </w:pPr>
            <w:r>
              <w:rPr>
                <w:rFonts w:ascii="Times New Roman" w:eastAsia="宋体" w:hAnsi="Times New Roman" w:cs="Times New Roman"/>
                <w:color w:val="000000"/>
                <w:szCs w:val="21"/>
              </w:rPr>
              <w:t>年度营业收入相对于</w:t>
            </w:r>
            <w:r>
              <w:rPr>
                <w:rFonts w:ascii="Times New Roman" w:eastAsia="宋体" w:hAnsi="Times New Roman" w:cs="Times New Roman"/>
                <w:color w:val="000000"/>
                <w:szCs w:val="21"/>
              </w:rPr>
              <w:t>2024</w:t>
            </w:r>
            <w:r>
              <w:rPr>
                <w:rFonts w:ascii="Times New Roman" w:eastAsia="宋体" w:hAnsi="Times New Roman" w:cs="Times New Roman"/>
                <w:color w:val="000000"/>
                <w:szCs w:val="21"/>
              </w:rPr>
              <w:t>年的</w:t>
            </w:r>
            <w:r>
              <w:rPr>
                <w:rFonts w:ascii="Times New Roman" w:eastAsia="宋体" w:hAnsi="Times New Roman" w:cs="Times New Roman" w:hint="eastAsia"/>
                <w:color w:val="000000"/>
                <w:szCs w:val="21"/>
              </w:rPr>
              <w:t>实际</w:t>
            </w:r>
            <w:r>
              <w:rPr>
                <w:rFonts w:ascii="Times New Roman" w:eastAsia="宋体" w:hAnsi="Times New Roman" w:cs="Times New Roman"/>
                <w:color w:val="000000"/>
                <w:szCs w:val="21"/>
              </w:rPr>
              <w:t>增长率（</w:t>
            </w:r>
            <w:r>
              <w:rPr>
                <w:rFonts w:ascii="Times New Roman" w:eastAsia="宋体" w:hAnsi="Times New Roman" w:cs="Times New Roman"/>
                <w:color w:val="000000"/>
                <w:szCs w:val="21"/>
              </w:rPr>
              <w:t>A</w:t>
            </w:r>
            <w:r>
              <w:rPr>
                <w:rFonts w:ascii="Times New Roman" w:eastAsia="宋体" w:hAnsi="Times New Roman" w:cs="Times New Roman"/>
                <w:color w:val="000000"/>
                <w:szCs w:val="21"/>
              </w:rPr>
              <w:t>）</w:t>
            </w:r>
          </w:p>
        </w:tc>
        <w:tc>
          <w:tcPr>
            <w:tcW w:w="2881" w:type="dxa"/>
            <w:tcBorders>
              <w:top w:val="single" w:sz="4" w:space="0" w:color="000000"/>
              <w:left w:val="single" w:sz="4" w:space="0" w:color="000000"/>
              <w:bottom w:val="single" w:sz="4" w:space="0" w:color="000000"/>
              <w:tl2br w:val="nil"/>
              <w:tr2bl w:val="nil"/>
            </w:tcBorders>
            <w:shd w:val="clear" w:color="auto" w:fill="FFFFFF"/>
            <w:vAlign w:val="center"/>
          </w:tcPr>
          <w:p w14:paraId="465163EE" w14:textId="77777777" w:rsidR="00CC6399" w:rsidRDefault="009A6707">
            <w:pPr>
              <w:ind w:firstLineChars="0" w:firstLine="0"/>
              <w:jc w:val="center"/>
              <w:rPr>
                <w:rFonts w:ascii="Times New Roman" w:eastAsia="宋体" w:hAnsi="Times New Roman" w:cs="Times New Roman"/>
                <w:color w:val="000000"/>
                <w:szCs w:val="21"/>
              </w:rPr>
            </w:pPr>
            <w:r>
              <w:rPr>
                <w:rFonts w:ascii="Times New Roman" w:eastAsia="宋体" w:hAnsi="Times New Roman" w:cs="Times New Roman"/>
                <w:color w:val="000000"/>
                <w:szCs w:val="21"/>
              </w:rPr>
              <w:t>A</w:t>
            </w:r>
            <w:r>
              <w:rPr>
                <w:rFonts w:ascii="Times New Roman" w:eastAsia="宋体" w:hAnsi="Times New Roman" w:cs="Times New Roman" w:hint="eastAsia"/>
                <w:color w:val="000000"/>
                <w:szCs w:val="21"/>
              </w:rPr>
              <w:t>/Am</w:t>
            </w:r>
            <w:r>
              <w:rPr>
                <w:rFonts w:ascii="Times New Roman" w:eastAsia="宋体" w:hAnsi="Times New Roman" w:cs="Times New Roman" w:hint="eastAsia"/>
                <w:color w:val="000000"/>
                <w:szCs w:val="21"/>
              </w:rPr>
              <w:t>≥</w:t>
            </w:r>
            <w:r>
              <w:rPr>
                <w:rFonts w:ascii="Times New Roman" w:eastAsia="宋体" w:hAnsi="Times New Roman" w:cs="Times New Roman" w:hint="eastAsia"/>
                <w:color w:val="000000"/>
                <w:szCs w:val="21"/>
              </w:rPr>
              <w:t>100%</w:t>
            </w:r>
          </w:p>
        </w:tc>
        <w:tc>
          <w:tcPr>
            <w:tcW w:w="2881" w:type="dxa"/>
            <w:tcBorders>
              <w:top w:val="single" w:sz="4" w:space="0" w:color="000000"/>
              <w:left w:val="single" w:sz="4" w:space="0" w:color="000000"/>
              <w:bottom w:val="single" w:sz="2" w:space="0" w:color="000000"/>
              <w:tl2br w:val="nil"/>
              <w:tr2bl w:val="nil"/>
            </w:tcBorders>
            <w:shd w:val="clear" w:color="auto" w:fill="FFFFFF"/>
            <w:vAlign w:val="center"/>
          </w:tcPr>
          <w:p w14:paraId="296423D1" w14:textId="77777777" w:rsidR="00CC6399" w:rsidRDefault="009A6707">
            <w:pPr>
              <w:numPr>
                <w:ilvl w:val="255"/>
                <w:numId w:val="0"/>
              </w:numPr>
              <w:jc w:val="center"/>
              <w:rPr>
                <w:rFonts w:ascii="Times New Roman" w:eastAsia="宋体" w:hAnsi="Times New Roman" w:cs="Times New Roman"/>
                <w:color w:val="000000"/>
                <w:szCs w:val="21"/>
              </w:rPr>
            </w:pPr>
            <w:r>
              <w:rPr>
                <w:rFonts w:ascii="Times New Roman" w:eastAsia="宋体" w:hAnsi="Times New Roman" w:cs="Times New Roman"/>
                <w:color w:val="000000"/>
                <w:szCs w:val="21"/>
              </w:rPr>
              <w:t>100%</w:t>
            </w:r>
          </w:p>
        </w:tc>
      </w:tr>
      <w:tr w:rsidR="00CC6399" w14:paraId="647AE55B" w14:textId="77777777">
        <w:trPr>
          <w:trHeight w:val="23"/>
        </w:trPr>
        <w:tc>
          <w:tcPr>
            <w:tcW w:w="2758" w:type="dxa"/>
            <w:gridSpan w:val="2"/>
            <w:vMerge/>
            <w:tcBorders>
              <w:right w:val="single" w:sz="4" w:space="0" w:color="000000"/>
              <w:tl2br w:val="nil"/>
              <w:tr2bl w:val="nil"/>
            </w:tcBorders>
            <w:shd w:val="clear" w:color="auto" w:fill="FFFFFF"/>
            <w:vAlign w:val="center"/>
          </w:tcPr>
          <w:p w14:paraId="739424F7" w14:textId="77777777" w:rsidR="00CC6399" w:rsidRDefault="00CC6399">
            <w:pPr>
              <w:ind w:firstLineChars="0" w:firstLine="0"/>
              <w:jc w:val="center"/>
              <w:rPr>
                <w:rFonts w:ascii="Times New Roman" w:eastAsia="宋体" w:hAnsi="Times New Roman" w:cs="Times New Roman"/>
                <w:szCs w:val="21"/>
              </w:rPr>
            </w:pPr>
          </w:p>
        </w:tc>
        <w:tc>
          <w:tcPr>
            <w:tcW w:w="2881" w:type="dxa"/>
            <w:tcBorders>
              <w:top w:val="single" w:sz="4" w:space="0" w:color="000000"/>
              <w:left w:val="single" w:sz="4" w:space="0" w:color="000000"/>
              <w:bottom w:val="single" w:sz="4" w:space="0" w:color="000000"/>
              <w:tl2br w:val="nil"/>
              <w:tr2bl w:val="nil"/>
            </w:tcBorders>
            <w:shd w:val="clear" w:color="auto" w:fill="FFFFFF"/>
            <w:vAlign w:val="center"/>
          </w:tcPr>
          <w:p w14:paraId="2F68F5B4" w14:textId="77777777" w:rsidR="00CC6399" w:rsidRDefault="009A6707">
            <w:pPr>
              <w:ind w:firstLineChars="0" w:firstLine="0"/>
              <w:jc w:val="center"/>
              <w:rPr>
                <w:rFonts w:ascii="Times New Roman" w:eastAsia="宋体" w:hAnsi="Times New Roman" w:cs="Times New Roman"/>
                <w:color w:val="000000"/>
                <w:szCs w:val="21"/>
              </w:rPr>
            </w:pPr>
            <w:r>
              <w:rPr>
                <w:rFonts w:ascii="Times New Roman" w:eastAsia="宋体" w:hAnsi="Times New Roman" w:cs="Times New Roman" w:hint="eastAsia"/>
                <w:color w:val="000000"/>
                <w:szCs w:val="21"/>
              </w:rPr>
              <w:t>90%</w:t>
            </w:r>
            <w:r>
              <w:rPr>
                <w:rFonts w:ascii="Times New Roman" w:eastAsia="宋体" w:hAnsi="Times New Roman" w:cs="Times New Roman" w:hint="eastAsia"/>
                <w:color w:val="000000"/>
                <w:szCs w:val="21"/>
              </w:rPr>
              <w:t>≤</w:t>
            </w:r>
            <w:r>
              <w:rPr>
                <w:rFonts w:ascii="Times New Roman" w:eastAsia="宋体" w:hAnsi="Times New Roman" w:cs="Times New Roman"/>
                <w:color w:val="000000"/>
                <w:szCs w:val="21"/>
              </w:rPr>
              <w:t>A</w:t>
            </w:r>
            <w:r>
              <w:rPr>
                <w:rFonts w:ascii="Times New Roman" w:eastAsia="宋体" w:hAnsi="Times New Roman" w:cs="Times New Roman" w:hint="eastAsia"/>
                <w:color w:val="000000"/>
                <w:szCs w:val="21"/>
              </w:rPr>
              <w:t>/Am</w:t>
            </w:r>
            <w:r>
              <w:rPr>
                <w:rFonts w:ascii="Times New Roman" w:eastAsia="宋体" w:hAnsi="Times New Roman" w:cs="Times New Roman"/>
                <w:color w:val="000000"/>
                <w:szCs w:val="21"/>
              </w:rPr>
              <w:t>＜</w:t>
            </w:r>
            <w:r>
              <w:rPr>
                <w:rFonts w:ascii="Times New Roman" w:eastAsia="宋体" w:hAnsi="Times New Roman" w:cs="Times New Roman" w:hint="eastAsia"/>
                <w:color w:val="000000"/>
                <w:szCs w:val="21"/>
              </w:rPr>
              <w:t>100%</w:t>
            </w:r>
          </w:p>
        </w:tc>
        <w:tc>
          <w:tcPr>
            <w:tcW w:w="2881" w:type="dxa"/>
            <w:tcBorders>
              <w:top w:val="single" w:sz="2" w:space="0" w:color="000000"/>
              <w:left w:val="single" w:sz="4" w:space="0" w:color="000000"/>
              <w:bottom w:val="single" w:sz="2" w:space="0" w:color="000000"/>
              <w:tl2br w:val="nil"/>
              <w:tr2bl w:val="nil"/>
            </w:tcBorders>
            <w:shd w:val="clear" w:color="auto" w:fill="FFFFFF"/>
            <w:vAlign w:val="center"/>
          </w:tcPr>
          <w:p w14:paraId="2D264106" w14:textId="77777777" w:rsidR="00CC6399" w:rsidRDefault="009A6707">
            <w:pPr>
              <w:ind w:firstLineChars="0" w:firstLine="0"/>
              <w:jc w:val="center"/>
              <w:rPr>
                <w:rFonts w:ascii="Times New Roman" w:eastAsia="宋体" w:hAnsi="Times New Roman" w:cs="Times New Roman"/>
                <w:color w:val="000000"/>
                <w:szCs w:val="21"/>
              </w:rPr>
            </w:pPr>
            <w:r>
              <w:rPr>
                <w:rFonts w:ascii="Times New Roman" w:eastAsia="宋体" w:hAnsi="Times New Roman" w:cs="Times New Roman" w:hint="eastAsia"/>
                <w:color w:val="000000"/>
                <w:szCs w:val="21"/>
              </w:rPr>
              <w:t>90%</w:t>
            </w:r>
          </w:p>
        </w:tc>
      </w:tr>
      <w:tr w:rsidR="00CC6399" w14:paraId="386AD637" w14:textId="77777777">
        <w:trPr>
          <w:trHeight w:val="23"/>
        </w:trPr>
        <w:tc>
          <w:tcPr>
            <w:tcW w:w="2758" w:type="dxa"/>
            <w:gridSpan w:val="2"/>
            <w:vMerge/>
            <w:tcBorders>
              <w:right w:val="single" w:sz="4" w:space="0" w:color="000000"/>
              <w:tl2br w:val="nil"/>
              <w:tr2bl w:val="nil"/>
            </w:tcBorders>
            <w:shd w:val="clear" w:color="auto" w:fill="FFFFFF"/>
            <w:vAlign w:val="center"/>
          </w:tcPr>
          <w:p w14:paraId="447A72A8" w14:textId="77777777" w:rsidR="00CC6399" w:rsidRDefault="00CC6399">
            <w:pPr>
              <w:ind w:firstLineChars="0" w:firstLine="0"/>
              <w:jc w:val="center"/>
              <w:rPr>
                <w:rFonts w:ascii="Times New Roman" w:eastAsia="宋体" w:hAnsi="Times New Roman" w:cs="Times New Roman"/>
                <w:szCs w:val="21"/>
              </w:rPr>
            </w:pPr>
          </w:p>
        </w:tc>
        <w:tc>
          <w:tcPr>
            <w:tcW w:w="2881" w:type="dxa"/>
            <w:tcBorders>
              <w:top w:val="single" w:sz="4" w:space="0" w:color="000000"/>
              <w:left w:val="single" w:sz="4" w:space="0" w:color="000000"/>
              <w:bottom w:val="single" w:sz="4" w:space="0" w:color="000000"/>
              <w:tl2br w:val="nil"/>
              <w:tr2bl w:val="nil"/>
            </w:tcBorders>
            <w:shd w:val="clear" w:color="auto" w:fill="FFFFFF"/>
            <w:vAlign w:val="center"/>
          </w:tcPr>
          <w:p w14:paraId="5800016E" w14:textId="77777777" w:rsidR="00CC6399" w:rsidRDefault="009A6707">
            <w:pPr>
              <w:ind w:firstLineChars="0" w:firstLine="0"/>
              <w:jc w:val="center"/>
              <w:rPr>
                <w:rFonts w:ascii="Times New Roman" w:eastAsia="宋体" w:hAnsi="Times New Roman" w:cs="Times New Roman"/>
                <w:color w:val="000000"/>
                <w:szCs w:val="21"/>
              </w:rPr>
            </w:pPr>
            <w:r>
              <w:rPr>
                <w:rFonts w:ascii="Times New Roman" w:eastAsia="宋体" w:hAnsi="Times New Roman" w:cs="Times New Roman" w:hint="eastAsia"/>
                <w:color w:val="000000"/>
                <w:szCs w:val="21"/>
              </w:rPr>
              <w:t>80%</w:t>
            </w:r>
            <w:r>
              <w:rPr>
                <w:rFonts w:ascii="Times New Roman" w:eastAsia="宋体" w:hAnsi="Times New Roman" w:cs="Times New Roman" w:hint="eastAsia"/>
                <w:color w:val="000000"/>
                <w:szCs w:val="21"/>
              </w:rPr>
              <w:t>≤</w:t>
            </w:r>
            <w:r>
              <w:rPr>
                <w:rFonts w:ascii="Times New Roman" w:eastAsia="宋体" w:hAnsi="Times New Roman" w:cs="Times New Roman"/>
                <w:color w:val="000000"/>
                <w:szCs w:val="21"/>
              </w:rPr>
              <w:t>A</w:t>
            </w:r>
            <w:r>
              <w:rPr>
                <w:rFonts w:ascii="Times New Roman" w:eastAsia="宋体" w:hAnsi="Times New Roman" w:cs="Times New Roman" w:hint="eastAsia"/>
                <w:color w:val="000000"/>
                <w:szCs w:val="21"/>
              </w:rPr>
              <w:t>/Am</w:t>
            </w:r>
            <w:r>
              <w:rPr>
                <w:rFonts w:ascii="Times New Roman" w:eastAsia="宋体" w:hAnsi="Times New Roman" w:cs="Times New Roman"/>
                <w:color w:val="000000"/>
                <w:szCs w:val="21"/>
              </w:rPr>
              <w:t>＜</w:t>
            </w:r>
            <w:r>
              <w:rPr>
                <w:rFonts w:ascii="Times New Roman" w:eastAsia="宋体" w:hAnsi="Times New Roman" w:cs="Times New Roman" w:hint="eastAsia"/>
                <w:color w:val="000000"/>
                <w:szCs w:val="21"/>
              </w:rPr>
              <w:t>90%</w:t>
            </w:r>
          </w:p>
        </w:tc>
        <w:tc>
          <w:tcPr>
            <w:tcW w:w="2881" w:type="dxa"/>
            <w:tcBorders>
              <w:top w:val="single" w:sz="2" w:space="0" w:color="000000"/>
              <w:left w:val="single" w:sz="4" w:space="0" w:color="000000"/>
              <w:bottom w:val="single" w:sz="2" w:space="0" w:color="000000"/>
              <w:tl2br w:val="nil"/>
              <w:tr2bl w:val="nil"/>
            </w:tcBorders>
            <w:shd w:val="clear" w:color="auto" w:fill="FFFFFF"/>
            <w:vAlign w:val="center"/>
          </w:tcPr>
          <w:p w14:paraId="49EA669B" w14:textId="77777777" w:rsidR="00CC6399" w:rsidRDefault="009A6707">
            <w:pPr>
              <w:ind w:firstLineChars="0" w:firstLine="0"/>
              <w:jc w:val="center"/>
              <w:rPr>
                <w:rFonts w:ascii="Times New Roman" w:eastAsia="宋体" w:hAnsi="Times New Roman" w:cs="Times New Roman"/>
                <w:color w:val="000000"/>
                <w:szCs w:val="21"/>
              </w:rPr>
            </w:pPr>
            <w:r>
              <w:rPr>
                <w:rFonts w:ascii="Times New Roman" w:eastAsia="宋体" w:hAnsi="Times New Roman" w:cs="Times New Roman"/>
                <w:color w:val="000000"/>
                <w:szCs w:val="21"/>
              </w:rPr>
              <w:t>80%</w:t>
            </w:r>
          </w:p>
        </w:tc>
      </w:tr>
      <w:tr w:rsidR="00CC6399" w14:paraId="28F3EBB5" w14:textId="77777777">
        <w:trPr>
          <w:trHeight w:val="23"/>
        </w:trPr>
        <w:tc>
          <w:tcPr>
            <w:tcW w:w="2758" w:type="dxa"/>
            <w:gridSpan w:val="2"/>
            <w:vMerge/>
            <w:tcBorders>
              <w:right w:val="single" w:sz="4" w:space="0" w:color="000000"/>
              <w:tl2br w:val="nil"/>
              <w:tr2bl w:val="nil"/>
            </w:tcBorders>
            <w:shd w:val="clear" w:color="auto" w:fill="FFFFFF"/>
            <w:vAlign w:val="center"/>
          </w:tcPr>
          <w:p w14:paraId="186CB233" w14:textId="77777777" w:rsidR="00CC6399" w:rsidRDefault="00CC6399">
            <w:pPr>
              <w:ind w:firstLineChars="0" w:firstLine="0"/>
              <w:jc w:val="center"/>
              <w:rPr>
                <w:rFonts w:ascii="Times New Roman" w:eastAsia="宋体" w:hAnsi="Times New Roman" w:cs="Times New Roman"/>
                <w:szCs w:val="21"/>
              </w:rPr>
            </w:pPr>
          </w:p>
        </w:tc>
        <w:tc>
          <w:tcPr>
            <w:tcW w:w="2881" w:type="dxa"/>
            <w:tcBorders>
              <w:top w:val="single" w:sz="4" w:space="0" w:color="000000"/>
              <w:left w:val="single" w:sz="4" w:space="0" w:color="000000"/>
              <w:bottom w:val="single" w:sz="4" w:space="0" w:color="000000"/>
              <w:tl2br w:val="nil"/>
              <w:tr2bl w:val="nil"/>
            </w:tcBorders>
            <w:shd w:val="clear" w:color="auto" w:fill="FFFFFF"/>
            <w:vAlign w:val="center"/>
          </w:tcPr>
          <w:p w14:paraId="0D6F7A66" w14:textId="77777777" w:rsidR="00CC6399" w:rsidRDefault="009A6707">
            <w:pPr>
              <w:ind w:firstLineChars="0" w:firstLine="0"/>
              <w:jc w:val="center"/>
              <w:rPr>
                <w:rFonts w:ascii="Times New Roman" w:eastAsia="宋体" w:hAnsi="Times New Roman" w:cs="Times New Roman"/>
                <w:color w:val="000000"/>
                <w:szCs w:val="21"/>
              </w:rPr>
            </w:pPr>
            <w:r>
              <w:rPr>
                <w:rFonts w:ascii="Times New Roman" w:eastAsia="宋体" w:hAnsi="Times New Roman" w:cs="Times New Roman" w:hint="eastAsia"/>
                <w:color w:val="000000"/>
                <w:szCs w:val="21"/>
              </w:rPr>
              <w:t>60%</w:t>
            </w:r>
            <w:r>
              <w:rPr>
                <w:rFonts w:ascii="Times New Roman" w:eastAsia="宋体" w:hAnsi="Times New Roman" w:cs="Times New Roman" w:hint="eastAsia"/>
                <w:color w:val="000000"/>
                <w:szCs w:val="21"/>
              </w:rPr>
              <w:t>≤</w:t>
            </w:r>
            <w:r>
              <w:rPr>
                <w:rFonts w:ascii="Times New Roman" w:eastAsia="宋体" w:hAnsi="Times New Roman" w:cs="Times New Roman"/>
                <w:color w:val="000000"/>
                <w:szCs w:val="21"/>
              </w:rPr>
              <w:t>A</w:t>
            </w:r>
            <w:r>
              <w:rPr>
                <w:rFonts w:ascii="Times New Roman" w:eastAsia="宋体" w:hAnsi="Times New Roman" w:cs="Times New Roman" w:hint="eastAsia"/>
                <w:color w:val="000000"/>
                <w:szCs w:val="21"/>
              </w:rPr>
              <w:t>/Am</w:t>
            </w:r>
            <w:r>
              <w:rPr>
                <w:rFonts w:ascii="Times New Roman" w:eastAsia="宋体" w:hAnsi="Times New Roman" w:cs="Times New Roman"/>
                <w:color w:val="000000"/>
                <w:szCs w:val="21"/>
              </w:rPr>
              <w:t>＜</w:t>
            </w:r>
            <w:r>
              <w:rPr>
                <w:rFonts w:ascii="Times New Roman" w:eastAsia="宋体" w:hAnsi="Times New Roman" w:cs="Times New Roman" w:hint="eastAsia"/>
                <w:color w:val="000000"/>
                <w:szCs w:val="21"/>
              </w:rPr>
              <w:t>80%</w:t>
            </w:r>
          </w:p>
        </w:tc>
        <w:tc>
          <w:tcPr>
            <w:tcW w:w="2881" w:type="dxa"/>
            <w:tcBorders>
              <w:top w:val="single" w:sz="2" w:space="0" w:color="000000"/>
              <w:left w:val="single" w:sz="4" w:space="0" w:color="000000"/>
              <w:bottom w:val="single" w:sz="2" w:space="0" w:color="000000"/>
              <w:tl2br w:val="nil"/>
              <w:tr2bl w:val="nil"/>
            </w:tcBorders>
            <w:shd w:val="clear" w:color="auto" w:fill="FFFFFF"/>
            <w:vAlign w:val="center"/>
          </w:tcPr>
          <w:p w14:paraId="34DE5445" w14:textId="77777777" w:rsidR="00CC6399" w:rsidRDefault="009A6707">
            <w:pPr>
              <w:ind w:firstLineChars="0" w:firstLine="0"/>
              <w:jc w:val="center"/>
              <w:rPr>
                <w:rFonts w:ascii="Times New Roman" w:eastAsia="宋体" w:hAnsi="Times New Roman" w:cs="Times New Roman"/>
                <w:color w:val="000000"/>
                <w:szCs w:val="21"/>
              </w:rPr>
            </w:pPr>
            <w:r>
              <w:rPr>
                <w:rFonts w:ascii="Times New Roman" w:eastAsia="宋体" w:hAnsi="Times New Roman" w:cs="Times New Roman" w:hint="eastAsia"/>
                <w:color w:val="000000"/>
                <w:szCs w:val="21"/>
              </w:rPr>
              <w:t>60%</w:t>
            </w:r>
          </w:p>
        </w:tc>
      </w:tr>
      <w:tr w:rsidR="00CC6399" w14:paraId="58991C13" w14:textId="77777777">
        <w:trPr>
          <w:trHeight w:val="23"/>
        </w:trPr>
        <w:tc>
          <w:tcPr>
            <w:tcW w:w="2758" w:type="dxa"/>
            <w:gridSpan w:val="2"/>
            <w:vMerge/>
            <w:tcBorders>
              <w:bottom w:val="single" w:sz="4" w:space="0" w:color="000000"/>
              <w:right w:val="single" w:sz="4" w:space="0" w:color="000000"/>
              <w:tl2br w:val="nil"/>
              <w:tr2bl w:val="nil"/>
            </w:tcBorders>
            <w:shd w:val="clear" w:color="auto" w:fill="FFFFFF"/>
            <w:vAlign w:val="center"/>
          </w:tcPr>
          <w:p w14:paraId="79785227" w14:textId="77777777" w:rsidR="00CC6399" w:rsidRDefault="00CC6399">
            <w:pPr>
              <w:ind w:firstLineChars="0" w:firstLine="0"/>
              <w:jc w:val="center"/>
              <w:rPr>
                <w:rFonts w:ascii="Times New Roman" w:eastAsia="宋体" w:hAnsi="Times New Roman" w:cs="Times New Roman"/>
                <w:color w:val="000000"/>
                <w:szCs w:val="21"/>
              </w:rPr>
            </w:pPr>
          </w:p>
        </w:tc>
        <w:tc>
          <w:tcPr>
            <w:tcW w:w="2881" w:type="dxa"/>
            <w:tcBorders>
              <w:top w:val="single" w:sz="4" w:space="0" w:color="000000"/>
              <w:left w:val="single" w:sz="4" w:space="0" w:color="000000"/>
              <w:bottom w:val="single" w:sz="4" w:space="0" w:color="000000"/>
              <w:tl2br w:val="nil"/>
              <w:tr2bl w:val="nil"/>
            </w:tcBorders>
            <w:shd w:val="clear" w:color="auto" w:fill="FFFFFF"/>
            <w:vAlign w:val="center"/>
          </w:tcPr>
          <w:p w14:paraId="3700D1AC" w14:textId="77777777" w:rsidR="00CC6399" w:rsidRDefault="009A6707">
            <w:pPr>
              <w:ind w:firstLineChars="0" w:firstLine="0"/>
              <w:jc w:val="center"/>
              <w:rPr>
                <w:rFonts w:ascii="Times New Roman" w:eastAsia="宋体" w:hAnsi="Times New Roman" w:cs="Times New Roman"/>
                <w:color w:val="000000"/>
                <w:szCs w:val="21"/>
              </w:rPr>
            </w:pPr>
            <w:r>
              <w:rPr>
                <w:rFonts w:ascii="Times New Roman" w:eastAsia="宋体" w:hAnsi="Times New Roman" w:cs="Times New Roman"/>
                <w:color w:val="000000"/>
                <w:szCs w:val="21"/>
              </w:rPr>
              <w:t>A</w:t>
            </w:r>
            <w:r>
              <w:rPr>
                <w:rFonts w:ascii="Times New Roman" w:eastAsia="宋体" w:hAnsi="Times New Roman" w:cs="Times New Roman" w:hint="eastAsia"/>
                <w:color w:val="000000"/>
                <w:szCs w:val="21"/>
              </w:rPr>
              <w:t>/Am</w:t>
            </w:r>
            <w:r>
              <w:rPr>
                <w:rFonts w:ascii="Times New Roman" w:eastAsia="宋体" w:hAnsi="Times New Roman" w:cs="Times New Roman"/>
                <w:color w:val="000000"/>
                <w:szCs w:val="21"/>
              </w:rPr>
              <w:t>＜</w:t>
            </w:r>
            <w:r>
              <w:rPr>
                <w:rFonts w:ascii="Times New Roman" w:eastAsia="宋体" w:hAnsi="Times New Roman" w:cs="Times New Roman" w:hint="eastAsia"/>
                <w:color w:val="000000"/>
                <w:szCs w:val="21"/>
              </w:rPr>
              <w:t>60%</w:t>
            </w:r>
          </w:p>
        </w:tc>
        <w:tc>
          <w:tcPr>
            <w:tcW w:w="2881" w:type="dxa"/>
            <w:tcBorders>
              <w:top w:val="single" w:sz="2" w:space="0" w:color="000000"/>
              <w:left w:val="single" w:sz="4" w:space="0" w:color="000000"/>
              <w:bottom w:val="single" w:sz="4" w:space="0" w:color="000000"/>
              <w:tl2br w:val="nil"/>
              <w:tr2bl w:val="nil"/>
            </w:tcBorders>
            <w:shd w:val="clear" w:color="auto" w:fill="FFFFFF"/>
            <w:vAlign w:val="center"/>
          </w:tcPr>
          <w:p w14:paraId="3E705341" w14:textId="77777777" w:rsidR="00CC6399" w:rsidRDefault="009A6707">
            <w:pPr>
              <w:ind w:firstLineChars="0" w:firstLine="0"/>
              <w:jc w:val="center"/>
              <w:rPr>
                <w:rFonts w:ascii="Times New Roman" w:eastAsia="宋体" w:hAnsi="Times New Roman" w:cs="Times New Roman"/>
                <w:color w:val="000000"/>
                <w:szCs w:val="21"/>
              </w:rPr>
            </w:pPr>
            <w:r>
              <w:rPr>
                <w:rFonts w:ascii="Times New Roman" w:eastAsia="宋体" w:hAnsi="Times New Roman" w:cs="Times New Roman" w:hint="eastAsia"/>
                <w:color w:val="000000"/>
                <w:szCs w:val="21"/>
              </w:rPr>
              <w:t>0</w:t>
            </w:r>
          </w:p>
        </w:tc>
      </w:tr>
      <w:tr w:rsidR="00CC6399" w14:paraId="7160A5B4" w14:textId="77777777">
        <w:trPr>
          <w:trHeight w:val="23"/>
        </w:trPr>
        <w:tc>
          <w:tcPr>
            <w:tcW w:w="2758" w:type="dxa"/>
            <w:gridSpan w:val="2"/>
            <w:vMerge w:val="restart"/>
            <w:tcBorders>
              <w:top w:val="single" w:sz="4" w:space="0" w:color="000000"/>
              <w:right w:val="single" w:sz="4" w:space="0" w:color="auto"/>
              <w:tl2br w:val="nil"/>
              <w:tr2bl w:val="nil"/>
            </w:tcBorders>
            <w:shd w:val="clear" w:color="auto" w:fill="FFFFFF"/>
            <w:vAlign w:val="center"/>
          </w:tcPr>
          <w:p w14:paraId="6BDB2701" w14:textId="77777777" w:rsidR="00CC6399" w:rsidRDefault="009A6707">
            <w:pPr>
              <w:numPr>
                <w:ilvl w:val="255"/>
                <w:numId w:val="0"/>
              </w:numPr>
              <w:jc w:val="center"/>
              <w:rPr>
                <w:rFonts w:ascii="Times New Roman" w:eastAsia="宋体" w:hAnsi="Times New Roman" w:cs="Times New Roman"/>
                <w:color w:val="000000"/>
                <w:szCs w:val="21"/>
              </w:rPr>
            </w:pPr>
            <w:r>
              <w:rPr>
                <w:rFonts w:ascii="Times New Roman" w:eastAsia="宋体" w:hAnsi="Times New Roman" w:cs="Times New Roman"/>
                <w:color w:val="000000"/>
                <w:szCs w:val="21"/>
              </w:rPr>
              <w:t>年度净利润相对于</w:t>
            </w:r>
            <w:r>
              <w:rPr>
                <w:rFonts w:ascii="Times New Roman" w:eastAsia="宋体" w:hAnsi="Times New Roman" w:cs="Times New Roman"/>
                <w:color w:val="000000"/>
                <w:szCs w:val="21"/>
              </w:rPr>
              <w:t>2024</w:t>
            </w:r>
            <w:r>
              <w:rPr>
                <w:rFonts w:ascii="Times New Roman" w:eastAsia="宋体" w:hAnsi="Times New Roman" w:cs="Times New Roman"/>
                <w:color w:val="000000"/>
                <w:szCs w:val="21"/>
              </w:rPr>
              <w:t>年的</w:t>
            </w:r>
            <w:r>
              <w:rPr>
                <w:rFonts w:ascii="Times New Roman" w:eastAsia="宋体" w:hAnsi="Times New Roman" w:cs="Times New Roman" w:hint="eastAsia"/>
                <w:color w:val="000000"/>
                <w:szCs w:val="21"/>
              </w:rPr>
              <w:t>实际</w:t>
            </w:r>
            <w:r>
              <w:rPr>
                <w:rFonts w:ascii="Times New Roman" w:eastAsia="宋体" w:hAnsi="Times New Roman" w:cs="Times New Roman"/>
                <w:color w:val="000000"/>
                <w:szCs w:val="21"/>
              </w:rPr>
              <w:t>增长率（</w:t>
            </w:r>
            <w:r>
              <w:rPr>
                <w:rFonts w:ascii="Times New Roman" w:eastAsia="宋体" w:hAnsi="Times New Roman" w:cs="Times New Roman" w:hint="eastAsia"/>
                <w:color w:val="000000"/>
                <w:szCs w:val="21"/>
              </w:rPr>
              <w:t>B</w:t>
            </w:r>
            <w:r>
              <w:rPr>
                <w:rFonts w:ascii="Times New Roman" w:eastAsia="宋体" w:hAnsi="Times New Roman" w:cs="Times New Roman"/>
                <w:color w:val="000000"/>
                <w:szCs w:val="21"/>
              </w:rPr>
              <w:t>）</w:t>
            </w:r>
          </w:p>
        </w:tc>
        <w:tc>
          <w:tcPr>
            <w:tcW w:w="2881" w:type="dxa"/>
            <w:tcBorders>
              <w:top w:val="single" w:sz="4" w:space="0" w:color="000000"/>
              <w:left w:val="single" w:sz="4" w:space="0" w:color="auto"/>
              <w:bottom w:val="single" w:sz="4" w:space="0" w:color="auto"/>
              <w:right w:val="single" w:sz="4" w:space="0" w:color="auto"/>
              <w:tl2br w:val="nil"/>
              <w:tr2bl w:val="nil"/>
            </w:tcBorders>
            <w:shd w:val="clear" w:color="auto" w:fill="FFFFFF"/>
            <w:vAlign w:val="center"/>
          </w:tcPr>
          <w:p w14:paraId="28F6C330" w14:textId="77777777" w:rsidR="00CC6399" w:rsidRDefault="009A6707">
            <w:pPr>
              <w:ind w:firstLineChars="0" w:firstLine="0"/>
              <w:jc w:val="center"/>
              <w:rPr>
                <w:rFonts w:ascii="Times New Roman" w:eastAsia="宋体" w:hAnsi="Times New Roman" w:cs="Times New Roman"/>
                <w:color w:val="000000"/>
                <w:szCs w:val="21"/>
              </w:rPr>
            </w:pPr>
            <w:r>
              <w:rPr>
                <w:rFonts w:ascii="Times New Roman" w:eastAsia="宋体" w:hAnsi="Times New Roman" w:cs="Times New Roman" w:hint="eastAsia"/>
                <w:color w:val="000000"/>
                <w:szCs w:val="21"/>
              </w:rPr>
              <w:t>B/</w:t>
            </w:r>
            <w:proofErr w:type="spellStart"/>
            <w:r>
              <w:rPr>
                <w:rFonts w:ascii="Times New Roman" w:eastAsia="宋体" w:hAnsi="Times New Roman" w:cs="Times New Roman" w:hint="eastAsia"/>
                <w:color w:val="000000"/>
                <w:szCs w:val="21"/>
              </w:rPr>
              <w:t>Bm</w:t>
            </w:r>
            <w:proofErr w:type="spellEnd"/>
            <w:r>
              <w:rPr>
                <w:rFonts w:ascii="Times New Roman" w:eastAsia="宋体" w:hAnsi="Times New Roman" w:cs="Times New Roman" w:hint="eastAsia"/>
                <w:color w:val="000000"/>
                <w:szCs w:val="21"/>
              </w:rPr>
              <w:t>≥</w:t>
            </w:r>
            <w:r>
              <w:rPr>
                <w:rFonts w:ascii="Times New Roman" w:eastAsia="宋体" w:hAnsi="Times New Roman" w:cs="Times New Roman" w:hint="eastAsia"/>
                <w:color w:val="000000"/>
                <w:szCs w:val="21"/>
              </w:rPr>
              <w:t>100%</w:t>
            </w:r>
          </w:p>
        </w:tc>
        <w:tc>
          <w:tcPr>
            <w:tcW w:w="2881" w:type="dxa"/>
            <w:tcBorders>
              <w:top w:val="single" w:sz="4" w:space="0" w:color="000000"/>
              <w:left w:val="single" w:sz="4" w:space="0" w:color="auto"/>
              <w:bottom w:val="single" w:sz="4" w:space="0" w:color="auto"/>
              <w:tl2br w:val="nil"/>
              <w:tr2bl w:val="nil"/>
            </w:tcBorders>
            <w:shd w:val="clear" w:color="auto" w:fill="FFFFFF"/>
            <w:vAlign w:val="center"/>
          </w:tcPr>
          <w:p w14:paraId="74B159B5" w14:textId="77777777" w:rsidR="00CC6399" w:rsidRDefault="009A6707">
            <w:pPr>
              <w:numPr>
                <w:ilvl w:val="255"/>
                <w:numId w:val="0"/>
              </w:numPr>
              <w:jc w:val="center"/>
              <w:rPr>
                <w:rFonts w:ascii="Times New Roman" w:eastAsia="宋体" w:hAnsi="Times New Roman" w:cs="Times New Roman"/>
                <w:color w:val="000000"/>
                <w:szCs w:val="21"/>
              </w:rPr>
            </w:pPr>
            <w:r>
              <w:rPr>
                <w:rFonts w:ascii="Times New Roman" w:eastAsia="宋体" w:hAnsi="Times New Roman" w:cs="Times New Roman"/>
                <w:color w:val="000000"/>
                <w:szCs w:val="21"/>
              </w:rPr>
              <w:t>100%</w:t>
            </w:r>
          </w:p>
        </w:tc>
      </w:tr>
      <w:tr w:rsidR="00CC6399" w14:paraId="4F21E023" w14:textId="77777777">
        <w:trPr>
          <w:trHeight w:val="23"/>
        </w:trPr>
        <w:tc>
          <w:tcPr>
            <w:tcW w:w="2758" w:type="dxa"/>
            <w:gridSpan w:val="2"/>
            <w:vMerge/>
            <w:tcBorders>
              <w:right w:val="single" w:sz="4" w:space="0" w:color="auto"/>
              <w:tl2br w:val="nil"/>
              <w:tr2bl w:val="nil"/>
            </w:tcBorders>
            <w:shd w:val="clear" w:color="auto" w:fill="FFFFFF"/>
            <w:vAlign w:val="center"/>
          </w:tcPr>
          <w:p w14:paraId="5BEED6A9" w14:textId="77777777" w:rsidR="00CC6399" w:rsidRDefault="00CC6399">
            <w:pPr>
              <w:numPr>
                <w:ilvl w:val="255"/>
                <w:numId w:val="0"/>
              </w:numPr>
              <w:jc w:val="center"/>
              <w:rPr>
                <w:rFonts w:ascii="Times New Roman" w:eastAsia="宋体" w:hAnsi="Times New Roman" w:cs="Times New Roman"/>
                <w:color w:val="000000"/>
                <w:szCs w:val="21"/>
              </w:rPr>
            </w:pPr>
          </w:p>
        </w:tc>
        <w:tc>
          <w:tcPr>
            <w:tcW w:w="2881" w:type="dxa"/>
            <w:tcBorders>
              <w:top w:val="single" w:sz="4" w:space="0" w:color="auto"/>
              <w:left w:val="single" w:sz="4" w:space="0" w:color="auto"/>
              <w:bottom w:val="single" w:sz="4" w:space="0" w:color="auto"/>
              <w:right w:val="single" w:sz="4" w:space="0" w:color="auto"/>
              <w:tl2br w:val="nil"/>
              <w:tr2bl w:val="nil"/>
            </w:tcBorders>
            <w:shd w:val="clear" w:color="auto" w:fill="FFFFFF"/>
            <w:vAlign w:val="center"/>
          </w:tcPr>
          <w:p w14:paraId="4E8C3866" w14:textId="77777777" w:rsidR="00CC6399" w:rsidRDefault="009A6707">
            <w:pPr>
              <w:ind w:firstLineChars="0" w:firstLine="0"/>
              <w:jc w:val="center"/>
              <w:rPr>
                <w:rFonts w:ascii="Times New Roman" w:eastAsia="宋体" w:hAnsi="Times New Roman" w:cs="Times New Roman"/>
                <w:color w:val="000000"/>
                <w:szCs w:val="21"/>
              </w:rPr>
            </w:pPr>
            <w:r>
              <w:rPr>
                <w:rFonts w:ascii="Times New Roman" w:eastAsia="宋体" w:hAnsi="Times New Roman" w:cs="Times New Roman" w:hint="eastAsia"/>
                <w:color w:val="000000"/>
                <w:szCs w:val="21"/>
              </w:rPr>
              <w:t>90%</w:t>
            </w:r>
            <w:r>
              <w:rPr>
                <w:rFonts w:ascii="Times New Roman" w:eastAsia="宋体" w:hAnsi="Times New Roman" w:cs="Times New Roman" w:hint="eastAsia"/>
                <w:color w:val="000000"/>
                <w:szCs w:val="21"/>
              </w:rPr>
              <w:t>≤</w:t>
            </w:r>
            <w:r>
              <w:rPr>
                <w:rFonts w:ascii="Times New Roman" w:eastAsia="宋体" w:hAnsi="Times New Roman" w:cs="Times New Roman" w:hint="eastAsia"/>
                <w:color w:val="000000"/>
                <w:szCs w:val="21"/>
              </w:rPr>
              <w:t>B/</w:t>
            </w:r>
            <w:proofErr w:type="spellStart"/>
            <w:r>
              <w:rPr>
                <w:rFonts w:ascii="Times New Roman" w:eastAsia="宋体" w:hAnsi="Times New Roman" w:cs="Times New Roman" w:hint="eastAsia"/>
                <w:color w:val="000000"/>
                <w:szCs w:val="21"/>
              </w:rPr>
              <w:t>Bm</w:t>
            </w:r>
            <w:proofErr w:type="spellEnd"/>
            <w:r>
              <w:rPr>
                <w:rFonts w:ascii="Times New Roman" w:eastAsia="宋体" w:hAnsi="Times New Roman" w:cs="Times New Roman"/>
                <w:color w:val="000000"/>
                <w:szCs w:val="21"/>
              </w:rPr>
              <w:t>＜</w:t>
            </w:r>
            <w:r>
              <w:rPr>
                <w:rFonts w:ascii="Times New Roman" w:eastAsia="宋体" w:hAnsi="Times New Roman" w:cs="Times New Roman" w:hint="eastAsia"/>
                <w:color w:val="000000"/>
                <w:szCs w:val="21"/>
              </w:rPr>
              <w:t>100%</w:t>
            </w:r>
          </w:p>
        </w:tc>
        <w:tc>
          <w:tcPr>
            <w:tcW w:w="2881" w:type="dxa"/>
            <w:tcBorders>
              <w:top w:val="single" w:sz="4" w:space="0" w:color="auto"/>
              <w:left w:val="single" w:sz="4" w:space="0" w:color="auto"/>
              <w:bottom w:val="single" w:sz="4" w:space="0" w:color="auto"/>
              <w:tl2br w:val="nil"/>
              <w:tr2bl w:val="nil"/>
            </w:tcBorders>
            <w:shd w:val="clear" w:color="auto" w:fill="FFFFFF"/>
            <w:vAlign w:val="center"/>
          </w:tcPr>
          <w:p w14:paraId="5010D06F" w14:textId="77777777" w:rsidR="00CC6399" w:rsidRDefault="009A6707">
            <w:pPr>
              <w:ind w:firstLineChars="0" w:firstLine="0"/>
              <w:jc w:val="center"/>
              <w:rPr>
                <w:rFonts w:ascii="Times New Roman" w:eastAsia="宋体" w:hAnsi="Times New Roman" w:cs="Times New Roman"/>
                <w:color w:val="000000"/>
                <w:szCs w:val="21"/>
              </w:rPr>
            </w:pPr>
            <w:r>
              <w:rPr>
                <w:rFonts w:ascii="Times New Roman" w:eastAsia="宋体" w:hAnsi="Times New Roman" w:cs="Times New Roman" w:hint="eastAsia"/>
                <w:color w:val="000000"/>
                <w:szCs w:val="21"/>
              </w:rPr>
              <w:t>90%</w:t>
            </w:r>
          </w:p>
        </w:tc>
      </w:tr>
      <w:tr w:rsidR="00CC6399" w14:paraId="098B1376" w14:textId="77777777">
        <w:trPr>
          <w:trHeight w:val="23"/>
        </w:trPr>
        <w:tc>
          <w:tcPr>
            <w:tcW w:w="2758" w:type="dxa"/>
            <w:gridSpan w:val="2"/>
            <w:vMerge/>
            <w:tcBorders>
              <w:right w:val="single" w:sz="4" w:space="0" w:color="auto"/>
              <w:tl2br w:val="nil"/>
              <w:tr2bl w:val="nil"/>
            </w:tcBorders>
            <w:shd w:val="clear" w:color="auto" w:fill="FFFFFF"/>
            <w:vAlign w:val="center"/>
          </w:tcPr>
          <w:p w14:paraId="7A4D32F6" w14:textId="77777777" w:rsidR="00CC6399" w:rsidRDefault="00CC6399">
            <w:pPr>
              <w:numPr>
                <w:ilvl w:val="255"/>
                <w:numId w:val="0"/>
              </w:numPr>
              <w:jc w:val="center"/>
              <w:rPr>
                <w:rFonts w:ascii="Times New Roman" w:eastAsia="宋体" w:hAnsi="Times New Roman" w:cs="Times New Roman"/>
                <w:color w:val="000000"/>
                <w:szCs w:val="21"/>
              </w:rPr>
            </w:pPr>
          </w:p>
        </w:tc>
        <w:tc>
          <w:tcPr>
            <w:tcW w:w="2881" w:type="dxa"/>
            <w:tcBorders>
              <w:top w:val="single" w:sz="4" w:space="0" w:color="auto"/>
              <w:left w:val="single" w:sz="4" w:space="0" w:color="auto"/>
              <w:bottom w:val="single" w:sz="4" w:space="0" w:color="auto"/>
              <w:right w:val="single" w:sz="4" w:space="0" w:color="auto"/>
              <w:tl2br w:val="nil"/>
              <w:tr2bl w:val="nil"/>
            </w:tcBorders>
            <w:shd w:val="clear" w:color="auto" w:fill="FFFFFF"/>
            <w:vAlign w:val="center"/>
          </w:tcPr>
          <w:p w14:paraId="3255F9B6" w14:textId="77777777" w:rsidR="00CC6399" w:rsidRDefault="009A6707">
            <w:pPr>
              <w:ind w:firstLineChars="0" w:firstLine="0"/>
              <w:jc w:val="center"/>
              <w:rPr>
                <w:rFonts w:ascii="Times New Roman" w:eastAsia="宋体" w:hAnsi="Times New Roman" w:cs="Times New Roman"/>
                <w:color w:val="000000"/>
                <w:szCs w:val="21"/>
              </w:rPr>
            </w:pPr>
            <w:r>
              <w:rPr>
                <w:rFonts w:ascii="Times New Roman" w:eastAsia="宋体" w:hAnsi="Times New Roman" w:cs="Times New Roman" w:hint="eastAsia"/>
                <w:color w:val="000000"/>
                <w:szCs w:val="21"/>
              </w:rPr>
              <w:t>80%</w:t>
            </w:r>
            <w:r>
              <w:rPr>
                <w:rFonts w:ascii="Times New Roman" w:eastAsia="宋体" w:hAnsi="Times New Roman" w:cs="Times New Roman" w:hint="eastAsia"/>
                <w:color w:val="000000"/>
                <w:szCs w:val="21"/>
              </w:rPr>
              <w:t>≤</w:t>
            </w:r>
            <w:r>
              <w:rPr>
                <w:rFonts w:ascii="Times New Roman" w:eastAsia="宋体" w:hAnsi="Times New Roman" w:cs="Times New Roman" w:hint="eastAsia"/>
                <w:color w:val="000000"/>
                <w:szCs w:val="21"/>
              </w:rPr>
              <w:t>B/</w:t>
            </w:r>
            <w:proofErr w:type="spellStart"/>
            <w:r>
              <w:rPr>
                <w:rFonts w:ascii="Times New Roman" w:eastAsia="宋体" w:hAnsi="Times New Roman" w:cs="Times New Roman" w:hint="eastAsia"/>
                <w:color w:val="000000"/>
                <w:szCs w:val="21"/>
              </w:rPr>
              <w:t>Bm</w:t>
            </w:r>
            <w:proofErr w:type="spellEnd"/>
            <w:r>
              <w:rPr>
                <w:rFonts w:ascii="Times New Roman" w:eastAsia="宋体" w:hAnsi="Times New Roman" w:cs="Times New Roman"/>
                <w:color w:val="000000"/>
                <w:szCs w:val="21"/>
              </w:rPr>
              <w:t>＜</w:t>
            </w:r>
            <w:r>
              <w:rPr>
                <w:rFonts w:ascii="Times New Roman" w:eastAsia="宋体" w:hAnsi="Times New Roman" w:cs="Times New Roman" w:hint="eastAsia"/>
                <w:color w:val="000000"/>
                <w:szCs w:val="21"/>
              </w:rPr>
              <w:t>90%</w:t>
            </w:r>
          </w:p>
        </w:tc>
        <w:tc>
          <w:tcPr>
            <w:tcW w:w="2881" w:type="dxa"/>
            <w:tcBorders>
              <w:top w:val="single" w:sz="4" w:space="0" w:color="auto"/>
              <w:left w:val="single" w:sz="4" w:space="0" w:color="auto"/>
              <w:bottom w:val="single" w:sz="4" w:space="0" w:color="auto"/>
              <w:tl2br w:val="nil"/>
              <w:tr2bl w:val="nil"/>
            </w:tcBorders>
            <w:shd w:val="clear" w:color="auto" w:fill="FFFFFF"/>
            <w:vAlign w:val="center"/>
          </w:tcPr>
          <w:p w14:paraId="5B6B39DD" w14:textId="77777777" w:rsidR="00CC6399" w:rsidRDefault="009A6707">
            <w:pPr>
              <w:ind w:firstLineChars="0" w:firstLine="0"/>
              <w:jc w:val="center"/>
              <w:rPr>
                <w:rFonts w:ascii="Times New Roman" w:eastAsia="宋体" w:hAnsi="Times New Roman" w:cs="Times New Roman"/>
                <w:color w:val="000000"/>
                <w:szCs w:val="21"/>
              </w:rPr>
            </w:pPr>
            <w:r>
              <w:rPr>
                <w:rFonts w:ascii="Times New Roman" w:eastAsia="宋体" w:hAnsi="Times New Roman" w:cs="Times New Roman"/>
                <w:color w:val="000000"/>
                <w:szCs w:val="21"/>
              </w:rPr>
              <w:t>80%</w:t>
            </w:r>
          </w:p>
        </w:tc>
      </w:tr>
      <w:tr w:rsidR="00CC6399" w14:paraId="389EA032" w14:textId="77777777">
        <w:trPr>
          <w:trHeight w:val="23"/>
        </w:trPr>
        <w:tc>
          <w:tcPr>
            <w:tcW w:w="2758" w:type="dxa"/>
            <w:gridSpan w:val="2"/>
            <w:vMerge/>
            <w:tcBorders>
              <w:right w:val="single" w:sz="4" w:space="0" w:color="auto"/>
              <w:tl2br w:val="nil"/>
              <w:tr2bl w:val="nil"/>
            </w:tcBorders>
            <w:shd w:val="clear" w:color="auto" w:fill="FFFFFF"/>
            <w:vAlign w:val="center"/>
          </w:tcPr>
          <w:p w14:paraId="54004A0B" w14:textId="77777777" w:rsidR="00CC6399" w:rsidRDefault="00CC6399">
            <w:pPr>
              <w:numPr>
                <w:ilvl w:val="255"/>
                <w:numId w:val="0"/>
              </w:numPr>
              <w:jc w:val="center"/>
              <w:rPr>
                <w:rFonts w:ascii="Times New Roman" w:eastAsia="宋体" w:hAnsi="Times New Roman" w:cs="Times New Roman"/>
                <w:color w:val="000000"/>
                <w:szCs w:val="21"/>
              </w:rPr>
            </w:pPr>
          </w:p>
        </w:tc>
        <w:tc>
          <w:tcPr>
            <w:tcW w:w="2881" w:type="dxa"/>
            <w:tcBorders>
              <w:top w:val="single" w:sz="4" w:space="0" w:color="auto"/>
              <w:left w:val="single" w:sz="4" w:space="0" w:color="auto"/>
              <w:bottom w:val="single" w:sz="4" w:space="0" w:color="auto"/>
              <w:right w:val="single" w:sz="4" w:space="0" w:color="auto"/>
              <w:tl2br w:val="nil"/>
              <w:tr2bl w:val="nil"/>
            </w:tcBorders>
            <w:shd w:val="clear" w:color="auto" w:fill="FFFFFF"/>
            <w:vAlign w:val="center"/>
          </w:tcPr>
          <w:p w14:paraId="384D99FA" w14:textId="77777777" w:rsidR="00CC6399" w:rsidRDefault="009A6707">
            <w:pPr>
              <w:ind w:firstLineChars="0" w:firstLine="0"/>
              <w:jc w:val="center"/>
              <w:rPr>
                <w:rFonts w:ascii="Times New Roman" w:eastAsia="宋体" w:hAnsi="Times New Roman" w:cs="Times New Roman"/>
                <w:color w:val="000000"/>
                <w:szCs w:val="21"/>
              </w:rPr>
            </w:pPr>
            <w:r>
              <w:rPr>
                <w:rFonts w:ascii="Times New Roman" w:eastAsia="宋体" w:hAnsi="Times New Roman" w:cs="Times New Roman" w:hint="eastAsia"/>
                <w:color w:val="000000"/>
                <w:szCs w:val="21"/>
              </w:rPr>
              <w:t>60%</w:t>
            </w:r>
            <w:r>
              <w:rPr>
                <w:rFonts w:ascii="Times New Roman" w:eastAsia="宋体" w:hAnsi="Times New Roman" w:cs="Times New Roman" w:hint="eastAsia"/>
                <w:color w:val="000000"/>
                <w:szCs w:val="21"/>
              </w:rPr>
              <w:t>≤</w:t>
            </w:r>
            <w:r>
              <w:rPr>
                <w:rFonts w:ascii="Times New Roman" w:eastAsia="宋体" w:hAnsi="Times New Roman" w:cs="Times New Roman" w:hint="eastAsia"/>
                <w:color w:val="000000"/>
                <w:szCs w:val="21"/>
              </w:rPr>
              <w:t>B/</w:t>
            </w:r>
            <w:proofErr w:type="spellStart"/>
            <w:r>
              <w:rPr>
                <w:rFonts w:ascii="Times New Roman" w:eastAsia="宋体" w:hAnsi="Times New Roman" w:cs="Times New Roman" w:hint="eastAsia"/>
                <w:color w:val="000000"/>
                <w:szCs w:val="21"/>
              </w:rPr>
              <w:t>Bm</w:t>
            </w:r>
            <w:proofErr w:type="spellEnd"/>
            <w:r>
              <w:rPr>
                <w:rFonts w:ascii="Times New Roman" w:eastAsia="宋体" w:hAnsi="Times New Roman" w:cs="Times New Roman"/>
                <w:color w:val="000000"/>
                <w:szCs w:val="21"/>
              </w:rPr>
              <w:t>＜</w:t>
            </w:r>
            <w:r>
              <w:rPr>
                <w:rFonts w:ascii="Times New Roman" w:eastAsia="宋体" w:hAnsi="Times New Roman" w:cs="Times New Roman" w:hint="eastAsia"/>
                <w:color w:val="000000"/>
                <w:szCs w:val="21"/>
              </w:rPr>
              <w:t>80%</w:t>
            </w:r>
          </w:p>
        </w:tc>
        <w:tc>
          <w:tcPr>
            <w:tcW w:w="2881" w:type="dxa"/>
            <w:tcBorders>
              <w:top w:val="single" w:sz="4" w:space="0" w:color="auto"/>
              <w:left w:val="single" w:sz="4" w:space="0" w:color="auto"/>
              <w:bottom w:val="single" w:sz="4" w:space="0" w:color="auto"/>
              <w:tl2br w:val="nil"/>
              <w:tr2bl w:val="nil"/>
            </w:tcBorders>
            <w:shd w:val="clear" w:color="auto" w:fill="FFFFFF"/>
            <w:vAlign w:val="center"/>
          </w:tcPr>
          <w:p w14:paraId="618FDE19" w14:textId="77777777" w:rsidR="00CC6399" w:rsidRDefault="009A6707">
            <w:pPr>
              <w:ind w:firstLineChars="0" w:firstLine="0"/>
              <w:jc w:val="center"/>
              <w:rPr>
                <w:rFonts w:ascii="Times New Roman" w:eastAsia="宋体" w:hAnsi="Times New Roman" w:cs="Times New Roman"/>
                <w:color w:val="000000"/>
                <w:szCs w:val="21"/>
              </w:rPr>
            </w:pPr>
            <w:r>
              <w:rPr>
                <w:rFonts w:ascii="Times New Roman" w:eastAsia="宋体" w:hAnsi="Times New Roman" w:cs="Times New Roman" w:hint="eastAsia"/>
                <w:color w:val="000000"/>
                <w:szCs w:val="21"/>
              </w:rPr>
              <w:t>60%</w:t>
            </w:r>
          </w:p>
        </w:tc>
      </w:tr>
      <w:tr w:rsidR="00CC6399" w14:paraId="4C7752BF" w14:textId="77777777">
        <w:trPr>
          <w:trHeight w:val="23"/>
        </w:trPr>
        <w:tc>
          <w:tcPr>
            <w:tcW w:w="2758" w:type="dxa"/>
            <w:gridSpan w:val="2"/>
            <w:vMerge/>
            <w:tcBorders>
              <w:right w:val="single" w:sz="4" w:space="0" w:color="auto"/>
              <w:tl2br w:val="nil"/>
              <w:tr2bl w:val="nil"/>
            </w:tcBorders>
            <w:shd w:val="clear" w:color="auto" w:fill="FFFFFF"/>
            <w:vAlign w:val="center"/>
          </w:tcPr>
          <w:p w14:paraId="46276DFA" w14:textId="77777777" w:rsidR="00CC6399" w:rsidRDefault="00CC6399">
            <w:pPr>
              <w:numPr>
                <w:ilvl w:val="255"/>
                <w:numId w:val="0"/>
              </w:numPr>
              <w:jc w:val="center"/>
              <w:rPr>
                <w:rFonts w:ascii="Times New Roman" w:eastAsia="宋体" w:hAnsi="Times New Roman" w:cs="Times New Roman"/>
                <w:color w:val="000000"/>
                <w:szCs w:val="21"/>
              </w:rPr>
            </w:pPr>
          </w:p>
        </w:tc>
        <w:tc>
          <w:tcPr>
            <w:tcW w:w="2881" w:type="dxa"/>
            <w:tcBorders>
              <w:top w:val="single" w:sz="4" w:space="0" w:color="auto"/>
              <w:left w:val="single" w:sz="4" w:space="0" w:color="auto"/>
              <w:right w:val="single" w:sz="4" w:space="0" w:color="auto"/>
              <w:tl2br w:val="nil"/>
              <w:tr2bl w:val="nil"/>
            </w:tcBorders>
            <w:shd w:val="clear" w:color="auto" w:fill="FFFFFF"/>
            <w:vAlign w:val="center"/>
          </w:tcPr>
          <w:p w14:paraId="17CB018D" w14:textId="77777777" w:rsidR="00CC6399" w:rsidRDefault="009A6707">
            <w:pPr>
              <w:ind w:firstLineChars="0" w:firstLine="0"/>
              <w:jc w:val="center"/>
              <w:rPr>
                <w:rFonts w:ascii="Times New Roman" w:eastAsia="宋体" w:hAnsi="Times New Roman" w:cs="Times New Roman"/>
                <w:color w:val="000000"/>
                <w:szCs w:val="21"/>
              </w:rPr>
            </w:pPr>
            <w:r>
              <w:rPr>
                <w:rFonts w:ascii="Times New Roman" w:eastAsia="宋体" w:hAnsi="Times New Roman" w:cs="Times New Roman" w:hint="eastAsia"/>
                <w:color w:val="000000"/>
                <w:szCs w:val="21"/>
              </w:rPr>
              <w:t>B/</w:t>
            </w:r>
            <w:proofErr w:type="spellStart"/>
            <w:r>
              <w:rPr>
                <w:rFonts w:ascii="Times New Roman" w:eastAsia="宋体" w:hAnsi="Times New Roman" w:cs="Times New Roman" w:hint="eastAsia"/>
                <w:color w:val="000000"/>
                <w:szCs w:val="21"/>
              </w:rPr>
              <w:t>Bm</w:t>
            </w:r>
            <w:proofErr w:type="spellEnd"/>
            <w:r>
              <w:rPr>
                <w:rFonts w:ascii="Times New Roman" w:eastAsia="宋体" w:hAnsi="Times New Roman" w:cs="Times New Roman"/>
                <w:color w:val="000000"/>
                <w:szCs w:val="21"/>
              </w:rPr>
              <w:t>＜</w:t>
            </w:r>
            <w:r>
              <w:rPr>
                <w:rFonts w:ascii="Times New Roman" w:eastAsia="宋体" w:hAnsi="Times New Roman" w:cs="Times New Roman" w:hint="eastAsia"/>
                <w:color w:val="000000"/>
                <w:szCs w:val="21"/>
              </w:rPr>
              <w:t>60%</w:t>
            </w:r>
          </w:p>
        </w:tc>
        <w:tc>
          <w:tcPr>
            <w:tcW w:w="2881" w:type="dxa"/>
            <w:tcBorders>
              <w:top w:val="single" w:sz="4" w:space="0" w:color="auto"/>
              <w:left w:val="single" w:sz="4" w:space="0" w:color="auto"/>
              <w:tl2br w:val="nil"/>
              <w:tr2bl w:val="nil"/>
            </w:tcBorders>
            <w:shd w:val="clear" w:color="auto" w:fill="FFFFFF"/>
            <w:vAlign w:val="center"/>
          </w:tcPr>
          <w:p w14:paraId="58580EE6" w14:textId="77777777" w:rsidR="00CC6399" w:rsidRDefault="009A6707">
            <w:pPr>
              <w:ind w:firstLineChars="0" w:firstLine="0"/>
              <w:jc w:val="center"/>
              <w:rPr>
                <w:rFonts w:ascii="Times New Roman" w:eastAsia="宋体" w:hAnsi="Times New Roman" w:cs="Times New Roman"/>
                <w:color w:val="000000"/>
                <w:szCs w:val="21"/>
              </w:rPr>
            </w:pPr>
            <w:r>
              <w:rPr>
                <w:rFonts w:ascii="Times New Roman" w:eastAsia="宋体" w:hAnsi="Times New Roman" w:cs="Times New Roman" w:hint="eastAsia"/>
                <w:color w:val="000000"/>
                <w:szCs w:val="21"/>
              </w:rPr>
              <w:t>0</w:t>
            </w:r>
          </w:p>
        </w:tc>
      </w:tr>
      <w:tr w:rsidR="00CC6399" w14:paraId="4BF86A81" w14:textId="77777777">
        <w:trPr>
          <w:trHeight w:val="23"/>
        </w:trPr>
        <w:tc>
          <w:tcPr>
            <w:tcW w:w="8520" w:type="dxa"/>
            <w:gridSpan w:val="4"/>
            <w:tcBorders>
              <w:top w:val="single" w:sz="4" w:space="0" w:color="000000"/>
              <w:tl2br w:val="nil"/>
              <w:tr2bl w:val="nil"/>
            </w:tcBorders>
            <w:shd w:val="clear" w:color="auto" w:fill="FFFFFF"/>
            <w:vAlign w:val="center"/>
          </w:tcPr>
          <w:p w14:paraId="09F6AE6B" w14:textId="77777777" w:rsidR="00CC6399" w:rsidRDefault="009A6707">
            <w:pPr>
              <w:numPr>
                <w:ilvl w:val="255"/>
                <w:numId w:val="0"/>
              </w:numPr>
              <w:jc w:val="center"/>
              <w:rPr>
                <w:rFonts w:ascii="Times New Roman" w:eastAsia="宋体" w:hAnsi="Times New Roman" w:cs="Times New Roman"/>
                <w:color w:val="000000"/>
                <w:szCs w:val="21"/>
              </w:rPr>
            </w:pPr>
            <w:r>
              <w:rPr>
                <w:rFonts w:ascii="Times New Roman" w:eastAsia="宋体" w:hAnsi="Times New Roman" w:cs="Times New Roman"/>
                <w:color w:val="000000"/>
                <w:szCs w:val="21"/>
              </w:rPr>
              <w:t>当出现</w:t>
            </w:r>
            <w:r>
              <w:rPr>
                <w:rFonts w:ascii="Times New Roman" w:eastAsia="宋体" w:hAnsi="Times New Roman" w:cs="Times New Roman"/>
                <w:color w:val="000000"/>
                <w:szCs w:val="21"/>
              </w:rPr>
              <w:t xml:space="preserve"> A</w:t>
            </w:r>
            <w:r>
              <w:rPr>
                <w:rFonts w:ascii="Times New Roman" w:eastAsia="宋体" w:hAnsi="Times New Roman" w:cs="Times New Roman" w:hint="eastAsia"/>
                <w:color w:val="000000"/>
                <w:szCs w:val="21"/>
              </w:rPr>
              <w:t>/Am</w:t>
            </w:r>
            <w:r>
              <w:rPr>
                <w:rFonts w:ascii="Times New Roman" w:eastAsia="宋体" w:hAnsi="Times New Roman" w:cs="Times New Roman" w:hint="eastAsia"/>
                <w:color w:val="000000"/>
                <w:szCs w:val="21"/>
              </w:rPr>
              <w:t>≥</w:t>
            </w:r>
            <w:r>
              <w:rPr>
                <w:rFonts w:ascii="Times New Roman" w:eastAsia="宋体" w:hAnsi="Times New Roman" w:cs="Times New Roman" w:hint="eastAsia"/>
                <w:color w:val="000000"/>
                <w:szCs w:val="21"/>
              </w:rPr>
              <w:t>100%</w:t>
            </w:r>
            <w:r>
              <w:rPr>
                <w:rFonts w:ascii="Times New Roman" w:eastAsia="宋体" w:hAnsi="Times New Roman" w:cs="Times New Roman"/>
                <w:color w:val="000000"/>
                <w:szCs w:val="21"/>
              </w:rPr>
              <w:t>或</w:t>
            </w:r>
            <w:r>
              <w:rPr>
                <w:rFonts w:ascii="Times New Roman" w:eastAsia="宋体" w:hAnsi="Times New Roman" w:cs="Times New Roman"/>
                <w:color w:val="000000"/>
                <w:szCs w:val="21"/>
              </w:rPr>
              <w:t xml:space="preserve"> </w:t>
            </w:r>
            <w:r>
              <w:rPr>
                <w:rFonts w:ascii="Times New Roman" w:eastAsia="宋体" w:hAnsi="Times New Roman" w:cs="Times New Roman" w:hint="eastAsia"/>
                <w:color w:val="000000"/>
                <w:szCs w:val="21"/>
              </w:rPr>
              <w:t>B/</w:t>
            </w:r>
            <w:proofErr w:type="spellStart"/>
            <w:r>
              <w:rPr>
                <w:rFonts w:ascii="Times New Roman" w:eastAsia="宋体" w:hAnsi="Times New Roman" w:cs="Times New Roman" w:hint="eastAsia"/>
                <w:color w:val="000000"/>
                <w:szCs w:val="21"/>
              </w:rPr>
              <w:t>Bm</w:t>
            </w:r>
            <w:proofErr w:type="spellEnd"/>
            <w:r>
              <w:rPr>
                <w:rFonts w:ascii="Times New Roman" w:eastAsia="宋体" w:hAnsi="Times New Roman" w:cs="Times New Roman" w:hint="eastAsia"/>
                <w:color w:val="000000"/>
                <w:szCs w:val="21"/>
              </w:rPr>
              <w:t>≥</w:t>
            </w:r>
            <w:r>
              <w:rPr>
                <w:rFonts w:ascii="Times New Roman" w:eastAsia="宋体" w:hAnsi="Times New Roman" w:cs="Times New Roman" w:hint="eastAsia"/>
                <w:color w:val="000000"/>
                <w:szCs w:val="21"/>
              </w:rPr>
              <w:t>100%</w:t>
            </w:r>
            <w:r>
              <w:rPr>
                <w:rFonts w:ascii="Times New Roman" w:eastAsia="宋体" w:hAnsi="Times New Roman" w:cs="Times New Roman"/>
                <w:color w:val="000000"/>
                <w:szCs w:val="21"/>
              </w:rPr>
              <w:t>时，</w:t>
            </w:r>
            <w:r>
              <w:rPr>
                <w:rFonts w:ascii="Times New Roman" w:eastAsia="宋体" w:hAnsi="Times New Roman" w:cs="Times New Roman"/>
                <w:color w:val="000000"/>
                <w:szCs w:val="21"/>
              </w:rPr>
              <w:t>X=1</w:t>
            </w:r>
            <w:r>
              <w:rPr>
                <w:rFonts w:ascii="Times New Roman" w:eastAsia="宋体" w:hAnsi="Times New Roman" w:cs="Times New Roman" w:hint="eastAsia"/>
                <w:color w:val="000000"/>
                <w:szCs w:val="21"/>
              </w:rPr>
              <w:t>00%</w:t>
            </w:r>
            <w:r>
              <w:rPr>
                <w:rFonts w:ascii="Times New Roman" w:eastAsia="宋体" w:hAnsi="Times New Roman" w:cs="Times New Roman"/>
                <w:color w:val="000000"/>
                <w:szCs w:val="21"/>
              </w:rPr>
              <w:t>；当出现</w:t>
            </w:r>
            <w:r>
              <w:rPr>
                <w:rFonts w:ascii="Times New Roman" w:eastAsia="宋体" w:hAnsi="Times New Roman" w:cs="Times New Roman"/>
                <w:color w:val="000000"/>
                <w:szCs w:val="21"/>
              </w:rPr>
              <w:t>A</w:t>
            </w:r>
            <w:r>
              <w:rPr>
                <w:rFonts w:ascii="Times New Roman" w:eastAsia="宋体" w:hAnsi="Times New Roman" w:cs="Times New Roman" w:hint="eastAsia"/>
                <w:color w:val="000000"/>
                <w:szCs w:val="21"/>
              </w:rPr>
              <w:t>/Am</w:t>
            </w:r>
            <w:r>
              <w:rPr>
                <w:rFonts w:ascii="Times New Roman" w:eastAsia="宋体" w:hAnsi="Times New Roman" w:cs="Times New Roman"/>
                <w:color w:val="000000"/>
                <w:szCs w:val="21"/>
              </w:rPr>
              <w:t>＜</w:t>
            </w:r>
            <w:r>
              <w:rPr>
                <w:rFonts w:ascii="Times New Roman" w:eastAsia="宋体" w:hAnsi="Times New Roman" w:cs="Times New Roman" w:hint="eastAsia"/>
                <w:color w:val="000000"/>
                <w:szCs w:val="21"/>
              </w:rPr>
              <w:t>60%</w:t>
            </w:r>
            <w:r>
              <w:rPr>
                <w:rFonts w:ascii="Times New Roman" w:eastAsia="宋体" w:hAnsi="Times New Roman" w:cs="Times New Roman"/>
                <w:color w:val="000000"/>
                <w:szCs w:val="21"/>
              </w:rPr>
              <w:t xml:space="preserve"> </w:t>
            </w:r>
            <w:r>
              <w:rPr>
                <w:rFonts w:ascii="Times New Roman" w:eastAsia="宋体" w:hAnsi="Times New Roman" w:cs="Times New Roman"/>
                <w:color w:val="000000"/>
                <w:szCs w:val="21"/>
              </w:rPr>
              <w:t>且</w:t>
            </w:r>
            <w:r>
              <w:rPr>
                <w:rFonts w:ascii="Times New Roman" w:eastAsia="宋体" w:hAnsi="Times New Roman" w:cs="Times New Roman"/>
                <w:color w:val="000000"/>
                <w:szCs w:val="21"/>
              </w:rPr>
              <w:t xml:space="preserve"> </w:t>
            </w:r>
            <w:r>
              <w:rPr>
                <w:rFonts w:ascii="Times New Roman" w:eastAsia="宋体" w:hAnsi="Times New Roman" w:cs="Times New Roman" w:hint="eastAsia"/>
                <w:color w:val="000000"/>
                <w:szCs w:val="21"/>
              </w:rPr>
              <w:t>B/</w:t>
            </w:r>
            <w:proofErr w:type="spellStart"/>
            <w:r>
              <w:rPr>
                <w:rFonts w:ascii="Times New Roman" w:eastAsia="宋体" w:hAnsi="Times New Roman" w:cs="Times New Roman" w:hint="eastAsia"/>
                <w:color w:val="000000"/>
                <w:szCs w:val="21"/>
              </w:rPr>
              <w:t>Bm</w:t>
            </w:r>
            <w:proofErr w:type="spellEnd"/>
            <w:r>
              <w:rPr>
                <w:rFonts w:ascii="Times New Roman" w:eastAsia="宋体" w:hAnsi="Times New Roman" w:cs="Times New Roman"/>
                <w:color w:val="000000"/>
                <w:szCs w:val="21"/>
              </w:rPr>
              <w:t>＜</w:t>
            </w:r>
            <w:r>
              <w:rPr>
                <w:rFonts w:ascii="Times New Roman" w:eastAsia="宋体" w:hAnsi="Times New Roman" w:cs="Times New Roman" w:hint="eastAsia"/>
                <w:color w:val="000000"/>
                <w:szCs w:val="21"/>
              </w:rPr>
              <w:t>60%</w:t>
            </w:r>
            <w:r>
              <w:rPr>
                <w:rFonts w:ascii="Times New Roman" w:eastAsia="宋体" w:hAnsi="Times New Roman" w:cs="Times New Roman"/>
                <w:color w:val="000000"/>
                <w:szCs w:val="21"/>
              </w:rPr>
              <w:t>时，</w:t>
            </w:r>
            <w:r>
              <w:rPr>
                <w:rFonts w:ascii="Times New Roman" w:eastAsia="宋体" w:hAnsi="Times New Roman" w:cs="Times New Roman"/>
                <w:color w:val="000000"/>
                <w:szCs w:val="21"/>
              </w:rPr>
              <w:t>X=0</w:t>
            </w:r>
            <w:r>
              <w:rPr>
                <w:rFonts w:ascii="Times New Roman" w:eastAsia="宋体" w:hAnsi="Times New Roman" w:cs="Times New Roman"/>
                <w:color w:val="000000"/>
                <w:szCs w:val="21"/>
              </w:rPr>
              <w:t>；当出现其他组合分布时，</w:t>
            </w:r>
            <w:r>
              <w:rPr>
                <w:rFonts w:ascii="Times New Roman" w:eastAsia="宋体" w:hAnsi="Times New Roman" w:cs="Times New Roman"/>
                <w:color w:val="000000"/>
                <w:szCs w:val="21"/>
              </w:rPr>
              <w:t>X</w:t>
            </w:r>
            <w:r>
              <w:rPr>
                <w:rFonts w:ascii="Times New Roman" w:eastAsia="宋体" w:hAnsi="Times New Roman" w:cs="Times New Roman" w:hint="eastAsia"/>
                <w:color w:val="000000"/>
                <w:szCs w:val="21"/>
              </w:rPr>
              <w:t>按</w:t>
            </w:r>
            <w:r>
              <w:rPr>
                <w:rFonts w:ascii="Times New Roman" w:eastAsia="宋体" w:hAnsi="Times New Roman" w:cs="Times New Roman"/>
                <w:color w:val="000000"/>
                <w:szCs w:val="21"/>
              </w:rPr>
              <w:t xml:space="preserve"> A/Am </w:t>
            </w:r>
            <w:r>
              <w:rPr>
                <w:rFonts w:ascii="Times New Roman" w:eastAsia="宋体" w:hAnsi="Times New Roman" w:cs="Times New Roman"/>
                <w:color w:val="000000"/>
                <w:szCs w:val="21"/>
              </w:rPr>
              <w:t>或</w:t>
            </w:r>
            <w:r>
              <w:rPr>
                <w:rFonts w:ascii="Times New Roman" w:eastAsia="宋体" w:hAnsi="Times New Roman" w:cs="Times New Roman"/>
                <w:color w:val="000000"/>
                <w:szCs w:val="21"/>
              </w:rPr>
              <w:t xml:space="preserve"> B/</w:t>
            </w:r>
            <w:proofErr w:type="spellStart"/>
            <w:r>
              <w:rPr>
                <w:rFonts w:ascii="Times New Roman" w:eastAsia="宋体" w:hAnsi="Times New Roman" w:cs="Times New Roman"/>
                <w:color w:val="000000"/>
                <w:szCs w:val="21"/>
              </w:rPr>
              <w:t>Bm</w:t>
            </w:r>
            <w:proofErr w:type="spellEnd"/>
            <w:r>
              <w:rPr>
                <w:rFonts w:ascii="Times New Roman" w:eastAsia="宋体" w:hAnsi="Times New Roman" w:cs="Times New Roman"/>
                <w:color w:val="000000"/>
                <w:szCs w:val="21"/>
              </w:rPr>
              <w:t xml:space="preserve"> </w:t>
            </w:r>
            <w:r>
              <w:rPr>
                <w:rFonts w:ascii="Times New Roman" w:eastAsia="宋体" w:hAnsi="Times New Roman" w:cs="Times New Roman"/>
                <w:color w:val="000000"/>
                <w:szCs w:val="21"/>
              </w:rPr>
              <w:t>的孰高值</w:t>
            </w:r>
            <w:r>
              <w:rPr>
                <w:rFonts w:ascii="Times New Roman" w:eastAsia="宋体" w:hAnsi="Times New Roman" w:cs="Times New Roman" w:hint="eastAsia"/>
                <w:color w:val="000000"/>
                <w:szCs w:val="21"/>
              </w:rPr>
              <w:t>确定</w:t>
            </w:r>
            <w:r>
              <w:rPr>
                <w:rFonts w:ascii="Times New Roman" w:eastAsia="宋体" w:hAnsi="Times New Roman" w:cs="Times New Roman"/>
                <w:color w:val="000000"/>
                <w:szCs w:val="21"/>
              </w:rPr>
              <w:t>。</w:t>
            </w:r>
          </w:p>
        </w:tc>
      </w:tr>
    </w:tbl>
    <w:p w14:paraId="2DFE20CD" w14:textId="77777777" w:rsidR="00CC6399" w:rsidRDefault="009A6707">
      <w:pPr>
        <w:ind w:firstLine="420"/>
        <w:rPr>
          <w:rFonts w:ascii="Times New Roman" w:hAnsi="Times New Roman" w:cs="Times New Roman"/>
        </w:rPr>
      </w:pPr>
      <w:r>
        <w:rPr>
          <w:rFonts w:ascii="Times New Roman" w:hAnsi="Times New Roman" w:cs="Times New Roman"/>
        </w:rPr>
        <w:t>注：</w:t>
      </w:r>
      <w:r>
        <w:rPr>
          <w:rFonts w:ascii="Times New Roman" w:hAnsi="Times New Roman" w:cs="Times New Roman"/>
        </w:rPr>
        <w:t>1.</w:t>
      </w:r>
      <w:r>
        <w:rPr>
          <w:rFonts w:ascii="Times New Roman" w:hAnsi="Times New Roman" w:cs="Times New Roman"/>
        </w:rPr>
        <w:t>上述</w:t>
      </w:r>
      <w:r>
        <w:rPr>
          <w:rFonts w:ascii="Times New Roman" w:hAnsi="Times New Roman" w:cs="Times New Roman"/>
        </w:rPr>
        <w:t>“</w:t>
      </w:r>
      <w:r>
        <w:rPr>
          <w:rFonts w:ascii="Times New Roman" w:hAnsi="Times New Roman" w:cs="Times New Roman"/>
        </w:rPr>
        <w:t>营业收入</w:t>
      </w:r>
      <w:r>
        <w:rPr>
          <w:rFonts w:ascii="Times New Roman" w:hAnsi="Times New Roman" w:cs="Times New Roman"/>
        </w:rPr>
        <w:t>”</w:t>
      </w:r>
      <w:r>
        <w:rPr>
          <w:rFonts w:ascii="Times New Roman" w:hAnsi="Times New Roman" w:cs="Times New Roman" w:hint="eastAsia"/>
        </w:rPr>
        <w:t>指经审计的上市公司合并财务报表营业总收入，</w:t>
      </w:r>
      <w:r>
        <w:rPr>
          <w:rFonts w:ascii="Times New Roman" w:hAnsi="Times New Roman" w:cs="Times New Roman"/>
        </w:rPr>
        <w:t>上述</w:t>
      </w:r>
      <w:r>
        <w:rPr>
          <w:rFonts w:ascii="Times New Roman" w:hAnsi="Times New Roman" w:cs="Times New Roman"/>
        </w:rPr>
        <w:t>“</w:t>
      </w:r>
      <w:r>
        <w:rPr>
          <w:rFonts w:ascii="Times New Roman" w:hAnsi="Times New Roman" w:cs="Times New Roman"/>
        </w:rPr>
        <w:t>净利润</w:t>
      </w:r>
      <w:r>
        <w:rPr>
          <w:rFonts w:ascii="Times New Roman" w:hAnsi="Times New Roman" w:cs="Times New Roman"/>
        </w:rPr>
        <w:t>”</w:t>
      </w:r>
      <w:r>
        <w:rPr>
          <w:rFonts w:ascii="Times New Roman" w:hAnsi="Times New Roman" w:cs="Times New Roman" w:hint="eastAsia"/>
        </w:rPr>
        <w:t>指经审计的</w:t>
      </w:r>
      <w:r>
        <w:rPr>
          <w:rFonts w:ascii="Times New Roman" w:hAnsi="Times New Roman" w:cs="Times New Roman"/>
        </w:rPr>
        <w:t>归属于上市公司股东的净利润，并剔除公司全部在有效期内的股权激励计划和员工持股计划（若有）在对应考核时间区间所涉及的股份支付费用数值的影响作为计算依据</w:t>
      </w:r>
      <w:r>
        <w:rPr>
          <w:rFonts w:ascii="Times New Roman" w:hAnsi="Times New Roman" w:cs="Times New Roman" w:hint="eastAsia"/>
        </w:rPr>
        <w:t>；</w:t>
      </w:r>
    </w:p>
    <w:p w14:paraId="42268E18" w14:textId="77777777" w:rsidR="00CC6399" w:rsidRPr="00A47BC0" w:rsidRDefault="009A6707" w:rsidP="00965123">
      <w:pPr>
        <w:ind w:firstLine="420"/>
        <w:rPr>
          <w:rFonts w:ascii="Times New Roman" w:eastAsia="宋体" w:hAnsi="Times New Roman" w:cs="Times New Roman"/>
          <w:sz w:val="28"/>
          <w:szCs w:val="28"/>
        </w:rPr>
      </w:pPr>
      <w:r>
        <w:rPr>
          <w:rFonts w:ascii="Times New Roman" w:hAnsi="Times New Roman" w:cs="Times New Roman" w:hint="eastAsia"/>
        </w:rPr>
        <w:t>2.</w:t>
      </w:r>
      <w:r>
        <w:rPr>
          <w:rFonts w:ascii="Times New Roman" w:hAnsi="Times New Roman" w:cs="Times New Roman" w:hint="eastAsia"/>
        </w:rPr>
        <w:t>以上业绩考核目标值不构成公司对投资者的业绩预测和实质承诺</w:t>
      </w:r>
      <w:r w:rsidRPr="00A47BC0">
        <w:rPr>
          <w:rFonts w:ascii="Times New Roman" w:hAnsi="Times New Roman" w:cs="Times New Roman" w:hint="eastAsia"/>
        </w:rPr>
        <w:t>。</w:t>
      </w:r>
    </w:p>
    <w:p w14:paraId="26F09ABD" w14:textId="0CB1BC9A" w:rsidR="00CC6399" w:rsidRDefault="009A6707">
      <w:pPr>
        <w:ind w:firstLine="560"/>
        <w:rPr>
          <w:rFonts w:ascii="Times New Roman" w:eastAsia="宋体" w:hAnsi="Times New Roman" w:cs="Times New Roman"/>
          <w:sz w:val="28"/>
          <w:szCs w:val="28"/>
        </w:rPr>
      </w:pPr>
      <w:r w:rsidRPr="00A47BC0">
        <w:rPr>
          <w:rFonts w:ascii="Times New Roman" w:eastAsia="宋体" w:hAnsi="Times New Roman" w:cs="Times New Roman" w:hint="eastAsia"/>
          <w:sz w:val="28"/>
          <w:szCs w:val="28"/>
        </w:rPr>
        <w:t>根据立信中联会计师事</w:t>
      </w:r>
      <w:bookmarkStart w:id="0" w:name="_GoBack"/>
      <w:bookmarkEnd w:id="0"/>
      <w:r w:rsidRPr="00A47BC0">
        <w:rPr>
          <w:rFonts w:ascii="Times New Roman" w:eastAsia="宋体" w:hAnsi="Times New Roman" w:cs="Times New Roman" w:hint="eastAsia"/>
          <w:sz w:val="28"/>
          <w:szCs w:val="28"/>
        </w:rPr>
        <w:t>务所（特殊普通合伙）出具的“</w:t>
      </w:r>
      <w:r w:rsidR="00A47BC0" w:rsidRPr="00A47BC0">
        <w:rPr>
          <w:rFonts w:ascii="Times New Roman" w:eastAsia="宋体" w:hAnsi="Times New Roman" w:cs="Times New Roman" w:hint="eastAsia"/>
          <w:sz w:val="28"/>
          <w:szCs w:val="28"/>
        </w:rPr>
        <w:t>立信中联审字</w:t>
      </w:r>
      <w:r w:rsidR="00A47BC0" w:rsidRPr="00A47BC0">
        <w:rPr>
          <w:rFonts w:ascii="Times New Roman" w:eastAsia="宋体" w:hAnsi="Times New Roman" w:cs="Times New Roman" w:hint="eastAsia"/>
          <w:sz w:val="28"/>
          <w:szCs w:val="28"/>
        </w:rPr>
        <w:t>[2026]D-1600</w:t>
      </w:r>
      <w:r w:rsidR="00A47BC0" w:rsidRPr="00A47BC0">
        <w:rPr>
          <w:rFonts w:ascii="Times New Roman" w:eastAsia="宋体" w:hAnsi="Times New Roman" w:cs="Times New Roman" w:hint="eastAsia"/>
          <w:sz w:val="28"/>
          <w:szCs w:val="28"/>
        </w:rPr>
        <w:t>号</w:t>
      </w:r>
      <w:r w:rsidRPr="00A47BC0">
        <w:rPr>
          <w:rFonts w:ascii="Times New Roman" w:eastAsia="宋体" w:hAnsi="Times New Roman" w:cs="Times New Roman" w:hint="eastAsia"/>
          <w:sz w:val="28"/>
          <w:szCs w:val="28"/>
        </w:rPr>
        <w:t>”《深圳市有方科技股份有限公司</w:t>
      </w:r>
      <w:r w:rsidRPr="00A47BC0">
        <w:rPr>
          <w:rFonts w:ascii="Times New Roman" w:eastAsia="宋体" w:hAnsi="Times New Roman" w:cs="Times New Roman" w:hint="eastAsia"/>
          <w:sz w:val="28"/>
          <w:szCs w:val="28"/>
        </w:rPr>
        <w:t>202</w:t>
      </w:r>
      <w:r w:rsidRPr="00A47BC0">
        <w:rPr>
          <w:rFonts w:ascii="Times New Roman" w:eastAsia="宋体" w:hAnsi="Times New Roman" w:cs="Times New Roman"/>
          <w:sz w:val="28"/>
          <w:szCs w:val="28"/>
        </w:rPr>
        <w:t>5</w:t>
      </w:r>
      <w:r w:rsidRPr="00A47BC0">
        <w:rPr>
          <w:rFonts w:ascii="Times New Roman" w:eastAsia="宋体" w:hAnsi="Times New Roman" w:cs="Times New Roman" w:hint="eastAsia"/>
          <w:sz w:val="28"/>
          <w:szCs w:val="28"/>
        </w:rPr>
        <w:t>年度审计报告》，公司</w:t>
      </w:r>
      <w:r w:rsidRPr="00A47BC0">
        <w:rPr>
          <w:rFonts w:ascii="Times New Roman" w:eastAsia="宋体" w:hAnsi="Times New Roman" w:cs="Times New Roman" w:hint="eastAsia"/>
          <w:sz w:val="28"/>
          <w:szCs w:val="28"/>
        </w:rPr>
        <w:t>202</w:t>
      </w:r>
      <w:r w:rsidRPr="00A47BC0">
        <w:rPr>
          <w:rFonts w:ascii="Times New Roman" w:eastAsia="宋体" w:hAnsi="Times New Roman" w:cs="Times New Roman"/>
          <w:sz w:val="28"/>
          <w:szCs w:val="28"/>
        </w:rPr>
        <w:t>5</w:t>
      </w:r>
      <w:r w:rsidRPr="00A47BC0">
        <w:rPr>
          <w:rFonts w:ascii="Times New Roman" w:eastAsia="宋体" w:hAnsi="Times New Roman" w:cs="Times New Roman" w:hint="eastAsia"/>
          <w:sz w:val="28"/>
          <w:szCs w:val="28"/>
        </w:rPr>
        <w:t>年度营业收入为</w:t>
      </w:r>
      <w:r w:rsidR="00A47BC0" w:rsidRPr="00A47BC0">
        <w:rPr>
          <w:rFonts w:ascii="Times New Roman" w:eastAsia="宋体" w:hAnsi="Times New Roman" w:cs="Times New Roman" w:hint="eastAsia"/>
          <w:sz w:val="28"/>
          <w:szCs w:val="28"/>
        </w:rPr>
        <w:t>240,529.38</w:t>
      </w:r>
      <w:r w:rsidR="00A47BC0" w:rsidRPr="00A47BC0">
        <w:rPr>
          <w:rFonts w:ascii="Times New Roman" w:eastAsia="宋体" w:hAnsi="Times New Roman" w:cs="Times New Roman" w:hint="eastAsia"/>
          <w:sz w:val="28"/>
          <w:szCs w:val="28"/>
        </w:rPr>
        <w:t>万元</w:t>
      </w:r>
      <w:r w:rsidRPr="00A47BC0">
        <w:rPr>
          <w:rFonts w:ascii="Times New Roman" w:eastAsia="宋体" w:hAnsi="Times New Roman" w:cs="Times New Roman" w:hint="eastAsia"/>
          <w:sz w:val="28"/>
          <w:szCs w:val="28"/>
        </w:rPr>
        <w:t>，</w:t>
      </w:r>
      <w:r w:rsidR="00A47BC0" w:rsidRPr="00A47BC0">
        <w:rPr>
          <w:rFonts w:ascii="Times New Roman" w:eastAsia="宋体" w:hAnsi="Times New Roman" w:cs="Times New Roman" w:hint="eastAsia"/>
          <w:sz w:val="28"/>
          <w:szCs w:val="28"/>
        </w:rPr>
        <w:t>归属于上市公司股东的净利润</w:t>
      </w:r>
      <w:r w:rsidR="00A47BC0" w:rsidRPr="00A47BC0">
        <w:rPr>
          <w:rFonts w:ascii="Times New Roman" w:eastAsia="宋体" w:hAnsi="Times New Roman" w:cs="Times New Roman" w:hint="eastAsia"/>
          <w:sz w:val="28"/>
          <w:szCs w:val="28"/>
        </w:rPr>
        <w:t>2,734.13</w:t>
      </w:r>
      <w:r w:rsidR="00A47BC0" w:rsidRPr="00A47BC0">
        <w:rPr>
          <w:rFonts w:ascii="Times New Roman" w:eastAsia="宋体" w:hAnsi="Times New Roman" w:cs="Times New Roman" w:hint="eastAsia"/>
          <w:sz w:val="28"/>
          <w:szCs w:val="28"/>
        </w:rPr>
        <w:t>万元</w:t>
      </w:r>
      <w:r w:rsidRPr="00A47BC0">
        <w:rPr>
          <w:rFonts w:ascii="Times New Roman" w:eastAsia="宋体" w:hAnsi="Times New Roman" w:cs="Times New Roman" w:hint="eastAsia"/>
          <w:sz w:val="28"/>
          <w:szCs w:val="28"/>
        </w:rPr>
        <w:t>。鉴于</w:t>
      </w:r>
      <w:r w:rsidRPr="00A47BC0">
        <w:rPr>
          <w:rFonts w:ascii="Times New Roman" w:eastAsia="宋体" w:hAnsi="Times New Roman" w:cs="Times New Roman" w:hint="eastAsia"/>
          <w:sz w:val="28"/>
          <w:szCs w:val="28"/>
        </w:rPr>
        <w:t>2025</w:t>
      </w:r>
      <w:r w:rsidRPr="00A47BC0">
        <w:rPr>
          <w:rFonts w:ascii="Times New Roman" w:eastAsia="宋体" w:hAnsi="Times New Roman" w:cs="Times New Roman" w:hint="eastAsia"/>
          <w:sz w:val="28"/>
          <w:szCs w:val="28"/>
        </w:rPr>
        <w:t>年激励计划第一</w:t>
      </w:r>
      <w:r>
        <w:rPr>
          <w:rFonts w:ascii="Times New Roman" w:eastAsia="宋体" w:hAnsi="Times New Roman" w:cs="Times New Roman" w:hint="eastAsia"/>
          <w:sz w:val="28"/>
          <w:szCs w:val="28"/>
        </w:rPr>
        <w:t>个归属期公司层面业绩考核指标未达到《激励计划》设定的考核目标，不符合归属条件，本期计划归属的</w:t>
      </w:r>
      <w:r>
        <w:rPr>
          <w:rFonts w:ascii="Times New Roman" w:eastAsia="宋体" w:hAnsi="Times New Roman" w:cs="Times New Roman" w:hint="eastAsia"/>
          <w:sz w:val="28"/>
          <w:szCs w:val="28"/>
        </w:rPr>
        <w:t>1</w:t>
      </w:r>
      <w:r>
        <w:rPr>
          <w:rFonts w:ascii="Times New Roman" w:eastAsia="宋体" w:hAnsi="Times New Roman" w:cs="Times New Roman"/>
          <w:sz w:val="28"/>
          <w:szCs w:val="28"/>
        </w:rPr>
        <w:t>2</w:t>
      </w:r>
      <w:r>
        <w:rPr>
          <w:rFonts w:ascii="Times New Roman" w:eastAsia="宋体" w:hAnsi="Times New Roman" w:cs="Times New Roman" w:hint="eastAsia"/>
          <w:sz w:val="28"/>
          <w:szCs w:val="28"/>
        </w:rPr>
        <w:t>5.</w:t>
      </w:r>
      <w:r>
        <w:rPr>
          <w:rFonts w:ascii="Times New Roman" w:eastAsia="宋体" w:hAnsi="Times New Roman" w:cs="Times New Roman"/>
          <w:sz w:val="28"/>
          <w:szCs w:val="28"/>
        </w:rPr>
        <w:t>6</w:t>
      </w:r>
      <w:r>
        <w:rPr>
          <w:rFonts w:ascii="Times New Roman" w:eastAsia="宋体" w:hAnsi="Times New Roman" w:cs="Times New Roman" w:hint="eastAsia"/>
          <w:sz w:val="28"/>
          <w:szCs w:val="28"/>
        </w:rPr>
        <w:t>万股限制性股票作废失效。</w:t>
      </w:r>
    </w:p>
    <w:p w14:paraId="46234328" w14:textId="3F2348C6" w:rsidR="00CC6399" w:rsidRDefault="009A6707">
      <w:pPr>
        <w:ind w:firstLine="560"/>
        <w:rPr>
          <w:rFonts w:ascii="Times New Roman" w:eastAsia="宋体" w:hAnsi="Times New Roman" w:cs="Times New Roman"/>
          <w:sz w:val="28"/>
          <w:szCs w:val="28"/>
        </w:rPr>
      </w:pPr>
      <w:r>
        <w:rPr>
          <w:rFonts w:ascii="Times New Roman" w:eastAsia="宋体" w:hAnsi="Times New Roman" w:cs="Times New Roman" w:hint="eastAsia"/>
          <w:sz w:val="28"/>
          <w:szCs w:val="28"/>
        </w:rPr>
        <w:t>根据公司</w:t>
      </w:r>
      <w:r>
        <w:rPr>
          <w:rFonts w:ascii="Times New Roman" w:eastAsia="宋体" w:hAnsi="Times New Roman" w:cs="Times New Roman" w:hint="eastAsia"/>
          <w:sz w:val="28"/>
          <w:szCs w:val="28"/>
        </w:rPr>
        <w:t>2024</w:t>
      </w:r>
      <w:r>
        <w:rPr>
          <w:rFonts w:ascii="Times New Roman" w:eastAsia="宋体" w:hAnsi="Times New Roman" w:cs="Times New Roman" w:hint="eastAsia"/>
          <w:sz w:val="28"/>
          <w:szCs w:val="28"/>
        </w:rPr>
        <w:t>年年度股东会对董事会的授权，本次作废部分已授予但尚未归属的第二类限制性股票事项无需提交股东会审议。</w:t>
      </w:r>
    </w:p>
    <w:p w14:paraId="23C17DE7" w14:textId="77777777" w:rsidR="00CC6399" w:rsidRDefault="009A6707">
      <w:pPr>
        <w:ind w:firstLine="562"/>
        <w:rPr>
          <w:rFonts w:ascii="Times New Roman" w:eastAsia="宋体" w:hAnsi="Times New Roman" w:cs="Times New Roman"/>
          <w:b/>
          <w:bCs/>
          <w:sz w:val="28"/>
          <w:szCs w:val="28"/>
        </w:rPr>
      </w:pPr>
      <w:r>
        <w:rPr>
          <w:rFonts w:ascii="Times New Roman" w:eastAsia="宋体" w:hAnsi="Times New Roman" w:cs="Times New Roman"/>
          <w:b/>
          <w:bCs/>
          <w:sz w:val="28"/>
          <w:szCs w:val="28"/>
        </w:rPr>
        <w:t>三、本次作废部分限制性股票对公司的影响</w:t>
      </w:r>
    </w:p>
    <w:p w14:paraId="46FF7FF1" w14:textId="77777777" w:rsidR="00CC6399" w:rsidRDefault="009A6707">
      <w:pPr>
        <w:ind w:firstLine="560"/>
        <w:rPr>
          <w:rFonts w:ascii="Times New Roman" w:eastAsia="宋体" w:hAnsi="Times New Roman" w:cs="Times New Roman"/>
          <w:sz w:val="28"/>
          <w:szCs w:val="28"/>
        </w:rPr>
      </w:pPr>
      <w:r>
        <w:rPr>
          <w:rFonts w:ascii="Times New Roman" w:eastAsia="宋体" w:hAnsi="Times New Roman" w:cs="Times New Roman"/>
          <w:sz w:val="28"/>
          <w:szCs w:val="28"/>
        </w:rPr>
        <w:t>公司本次作废部分限制性股票不会对公司经营情况产生重大影响，不影响公司管理团队及技术团队的稳定性。公司管理团队将继续认真履行工作职责，尽力为全体股东创造价值回报。</w:t>
      </w:r>
    </w:p>
    <w:p w14:paraId="51464215" w14:textId="77777777" w:rsidR="00CC6399" w:rsidRDefault="009A6707">
      <w:pPr>
        <w:ind w:firstLine="562"/>
        <w:rPr>
          <w:rFonts w:ascii="Times New Roman" w:eastAsia="宋体" w:hAnsi="Times New Roman" w:cs="Times New Roman"/>
          <w:b/>
          <w:bCs/>
          <w:sz w:val="28"/>
          <w:szCs w:val="28"/>
        </w:rPr>
      </w:pPr>
      <w:r>
        <w:rPr>
          <w:rFonts w:ascii="Times New Roman" w:eastAsia="宋体" w:hAnsi="Times New Roman" w:cs="Times New Roman"/>
          <w:b/>
          <w:bCs/>
          <w:sz w:val="28"/>
          <w:szCs w:val="28"/>
        </w:rPr>
        <w:t>四、</w:t>
      </w:r>
      <w:r>
        <w:rPr>
          <w:rFonts w:ascii="Times New Roman" w:eastAsia="宋体" w:hAnsi="Times New Roman" w:cs="Times New Roman" w:hint="eastAsia"/>
          <w:b/>
          <w:bCs/>
          <w:sz w:val="28"/>
          <w:szCs w:val="28"/>
        </w:rPr>
        <w:t>董事会薪酬与考核委员会核查</w:t>
      </w:r>
      <w:r>
        <w:rPr>
          <w:rFonts w:ascii="Times New Roman" w:eastAsia="宋体" w:hAnsi="Times New Roman" w:cs="Times New Roman"/>
          <w:b/>
          <w:bCs/>
          <w:sz w:val="28"/>
          <w:szCs w:val="28"/>
        </w:rPr>
        <w:t>意见</w:t>
      </w:r>
    </w:p>
    <w:p w14:paraId="7605C1D6" w14:textId="11FE392B" w:rsidR="00CC6399" w:rsidRDefault="00850380">
      <w:pPr>
        <w:ind w:firstLine="560"/>
        <w:rPr>
          <w:rFonts w:ascii="Times New Roman" w:eastAsia="宋体" w:hAnsi="Times New Roman" w:cs="Times New Roman"/>
          <w:sz w:val="28"/>
          <w:szCs w:val="28"/>
        </w:rPr>
      </w:pPr>
      <w:r w:rsidRPr="00850380">
        <w:rPr>
          <w:rFonts w:ascii="Times New Roman" w:eastAsia="宋体" w:hAnsi="Times New Roman" w:cs="Times New Roman" w:hint="eastAsia"/>
          <w:sz w:val="28"/>
          <w:szCs w:val="28"/>
        </w:rPr>
        <w:t>本次作废</w:t>
      </w:r>
      <w:r w:rsidRPr="00850380">
        <w:rPr>
          <w:rFonts w:ascii="Times New Roman" w:eastAsia="宋体" w:hAnsi="Times New Roman" w:cs="Times New Roman" w:hint="eastAsia"/>
          <w:sz w:val="28"/>
          <w:szCs w:val="28"/>
        </w:rPr>
        <w:t>2025</w:t>
      </w:r>
      <w:r w:rsidRPr="00850380">
        <w:rPr>
          <w:rFonts w:ascii="Times New Roman" w:eastAsia="宋体" w:hAnsi="Times New Roman" w:cs="Times New Roman" w:hint="eastAsia"/>
          <w:sz w:val="28"/>
          <w:szCs w:val="28"/>
        </w:rPr>
        <w:t>年激励计划部分已授予尚未归属的限制性股票事项符合《管理办法》《激励计划（草案）》等相关规定，审议程序合</w:t>
      </w:r>
      <w:r w:rsidRPr="00850380">
        <w:rPr>
          <w:rFonts w:ascii="Times New Roman" w:eastAsia="宋体" w:hAnsi="Times New Roman" w:cs="Times New Roman" w:hint="eastAsia"/>
          <w:sz w:val="28"/>
          <w:szCs w:val="28"/>
        </w:rPr>
        <w:lastRenderedPageBreak/>
        <w:t>法合规，不会对公司的财务状况和经营成果产生实质性影响，也不存在损害公司及全体股东利益的情形</w:t>
      </w:r>
      <w:r w:rsidR="009A6707">
        <w:rPr>
          <w:rFonts w:ascii="Times New Roman" w:eastAsia="宋体" w:hAnsi="Times New Roman" w:cs="Times New Roman" w:hint="eastAsia"/>
          <w:sz w:val="28"/>
          <w:szCs w:val="28"/>
        </w:rPr>
        <w:t>。</w:t>
      </w:r>
    </w:p>
    <w:p w14:paraId="621AFDA5" w14:textId="77777777" w:rsidR="00CC6399" w:rsidRDefault="009A6707">
      <w:pPr>
        <w:ind w:firstLine="562"/>
        <w:rPr>
          <w:rFonts w:ascii="Times New Roman" w:eastAsia="宋体" w:hAnsi="Times New Roman" w:cs="Times New Roman"/>
          <w:b/>
          <w:bCs/>
          <w:sz w:val="28"/>
          <w:szCs w:val="28"/>
        </w:rPr>
      </w:pPr>
      <w:r>
        <w:rPr>
          <w:rFonts w:ascii="Times New Roman" w:eastAsia="宋体" w:hAnsi="Times New Roman" w:cs="Times New Roman" w:hint="eastAsia"/>
          <w:b/>
          <w:bCs/>
          <w:sz w:val="28"/>
          <w:szCs w:val="28"/>
        </w:rPr>
        <w:t>五</w:t>
      </w:r>
      <w:r>
        <w:rPr>
          <w:rFonts w:ascii="Times New Roman" w:eastAsia="宋体" w:hAnsi="Times New Roman" w:cs="Times New Roman"/>
          <w:b/>
          <w:bCs/>
          <w:sz w:val="28"/>
          <w:szCs w:val="28"/>
        </w:rPr>
        <w:t>、律师结论性意见</w:t>
      </w:r>
    </w:p>
    <w:p w14:paraId="51D6DDBF" w14:textId="3052A356" w:rsidR="00CC6399" w:rsidRDefault="009A6707">
      <w:pPr>
        <w:ind w:firstLine="560"/>
        <w:rPr>
          <w:rFonts w:ascii="宋体" w:eastAsia="宋体" w:hAnsi="宋体"/>
          <w:sz w:val="28"/>
          <w:szCs w:val="28"/>
        </w:rPr>
      </w:pPr>
      <w:r>
        <w:rPr>
          <w:rFonts w:ascii="Times New Roman" w:eastAsia="宋体" w:hAnsi="Times New Roman" w:cs="Times New Roman" w:hint="eastAsia"/>
          <w:sz w:val="28"/>
          <w:szCs w:val="28"/>
        </w:rPr>
        <w:t>浙江天册（深圳）律师事务所</w:t>
      </w:r>
      <w:r>
        <w:rPr>
          <w:rFonts w:ascii="Times New Roman" w:eastAsia="宋体" w:hAnsi="Times New Roman" w:cs="Times New Roman"/>
          <w:sz w:val="28"/>
          <w:szCs w:val="28"/>
        </w:rPr>
        <w:t>认为：</w:t>
      </w:r>
      <w:r w:rsidR="00627B98" w:rsidRPr="00627B98">
        <w:rPr>
          <w:rFonts w:ascii="宋体" w:eastAsia="宋体" w:hAnsi="宋体" w:hint="eastAsia"/>
          <w:sz w:val="28"/>
          <w:szCs w:val="28"/>
        </w:rPr>
        <w:t>截至本法律意见书出具之日，公司就本次调整及本次作废已取得现阶段必要的批准与授权；本次调整及本次作废符合《管理办法》等法律法规及《激励计划（草案）》的相关规定。</w:t>
      </w:r>
    </w:p>
    <w:p w14:paraId="38F4087D" w14:textId="77777777" w:rsidR="00CC6399" w:rsidRDefault="009A6707">
      <w:pPr>
        <w:ind w:firstLine="560"/>
        <w:rPr>
          <w:rFonts w:ascii="Times New Roman" w:eastAsia="宋体" w:hAnsi="Times New Roman" w:cs="Times New Roman"/>
          <w:sz w:val="28"/>
          <w:szCs w:val="28"/>
        </w:rPr>
      </w:pPr>
      <w:r>
        <w:rPr>
          <w:rFonts w:ascii="Times New Roman" w:eastAsia="宋体" w:hAnsi="Times New Roman" w:cs="Times New Roman"/>
          <w:sz w:val="28"/>
          <w:szCs w:val="28"/>
        </w:rPr>
        <w:t>特此公告。</w:t>
      </w:r>
    </w:p>
    <w:p w14:paraId="13241D30" w14:textId="77777777" w:rsidR="00CC6399" w:rsidRDefault="00CC6399">
      <w:pPr>
        <w:ind w:firstLine="560"/>
        <w:rPr>
          <w:rFonts w:ascii="Times New Roman" w:eastAsia="宋体" w:hAnsi="Times New Roman" w:cs="Times New Roman"/>
          <w:sz w:val="28"/>
          <w:szCs w:val="28"/>
        </w:rPr>
      </w:pPr>
    </w:p>
    <w:p w14:paraId="58330E2D" w14:textId="77777777" w:rsidR="00CC6399" w:rsidRDefault="009A6707">
      <w:pPr>
        <w:ind w:firstLine="560"/>
        <w:jc w:val="right"/>
        <w:rPr>
          <w:rFonts w:ascii="Times New Roman" w:eastAsia="宋体" w:hAnsi="Times New Roman" w:cs="Times New Roman"/>
          <w:sz w:val="28"/>
          <w:szCs w:val="28"/>
        </w:rPr>
      </w:pPr>
      <w:r>
        <w:rPr>
          <w:rFonts w:ascii="Times New Roman" w:eastAsia="宋体" w:hAnsi="Times New Roman" w:cs="Times New Roman"/>
          <w:sz w:val="28"/>
          <w:szCs w:val="28"/>
        </w:rPr>
        <w:t>深圳市有方科技股份有限公司董事会</w:t>
      </w:r>
    </w:p>
    <w:p w14:paraId="56A06363" w14:textId="77777777" w:rsidR="00CC6399" w:rsidRDefault="009A6707">
      <w:pPr>
        <w:ind w:firstLine="560"/>
        <w:jc w:val="right"/>
        <w:rPr>
          <w:rFonts w:ascii="Times New Roman" w:eastAsia="宋体" w:hAnsi="Times New Roman" w:cs="Times New Roman"/>
          <w:sz w:val="24"/>
          <w:szCs w:val="24"/>
        </w:rPr>
      </w:pPr>
      <w:r>
        <w:rPr>
          <w:rFonts w:ascii="Times New Roman" w:eastAsia="宋体" w:hAnsi="Times New Roman" w:cs="Times New Roman"/>
          <w:sz w:val="28"/>
          <w:szCs w:val="28"/>
        </w:rPr>
        <w:t>2026</w:t>
      </w:r>
      <w:r>
        <w:rPr>
          <w:rFonts w:ascii="Times New Roman" w:eastAsia="宋体" w:hAnsi="Times New Roman" w:cs="Times New Roman"/>
          <w:sz w:val="28"/>
          <w:szCs w:val="28"/>
        </w:rPr>
        <w:t>年</w:t>
      </w:r>
      <w:r>
        <w:rPr>
          <w:rFonts w:ascii="Times New Roman" w:eastAsia="宋体" w:hAnsi="Times New Roman" w:cs="Times New Roman"/>
          <w:sz w:val="28"/>
          <w:szCs w:val="28"/>
        </w:rPr>
        <w:t>4</w:t>
      </w:r>
      <w:r>
        <w:rPr>
          <w:rFonts w:ascii="Times New Roman" w:eastAsia="宋体" w:hAnsi="Times New Roman" w:cs="Times New Roman"/>
          <w:sz w:val="28"/>
          <w:szCs w:val="28"/>
        </w:rPr>
        <w:t>月</w:t>
      </w:r>
      <w:r>
        <w:rPr>
          <w:rFonts w:ascii="Times New Roman" w:eastAsia="宋体" w:hAnsi="Times New Roman" w:cs="Times New Roman"/>
          <w:sz w:val="28"/>
          <w:szCs w:val="28"/>
        </w:rPr>
        <w:t>30</w:t>
      </w:r>
      <w:r>
        <w:rPr>
          <w:rFonts w:ascii="Times New Roman" w:eastAsia="宋体" w:hAnsi="Times New Roman" w:cs="Times New Roman"/>
          <w:sz w:val="28"/>
          <w:szCs w:val="28"/>
        </w:rPr>
        <w:t>日</w:t>
      </w:r>
    </w:p>
    <w:sectPr w:rsidR="00CC6399">
      <w:headerReference w:type="even" r:id="rId6"/>
      <w:headerReference w:type="default" r:id="rId7"/>
      <w:footerReference w:type="even" r:id="rId8"/>
      <w:footerReference w:type="default" r:id="rId9"/>
      <w:headerReference w:type="first" r:id="rId10"/>
      <w:footerReference w:type="first" r:id="rId11"/>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9C2B7F1" w14:textId="77777777" w:rsidR="00BA100A" w:rsidRDefault="00BA100A">
      <w:pPr>
        <w:spacing w:line="240" w:lineRule="auto"/>
        <w:ind w:firstLine="420"/>
      </w:pPr>
      <w:r>
        <w:separator/>
      </w:r>
    </w:p>
  </w:endnote>
  <w:endnote w:type="continuationSeparator" w:id="0">
    <w:p w14:paraId="66160648" w14:textId="77777777" w:rsidR="00BA100A" w:rsidRDefault="00BA100A">
      <w:pPr>
        <w:spacing w:line="240" w:lineRule="auto"/>
        <w:ind w:firstLine="42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charset w:val="86"/>
    <w:family w:val="modern"/>
    <w:pitch w:val="default"/>
    <w:sig w:usb0="00000000" w:usb1="00000000" w:usb2="00000010" w:usb3="00000000" w:csb0="0004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38888C2" w14:textId="77777777" w:rsidR="00CC6399" w:rsidRDefault="00CC6399">
    <w:pPr>
      <w:pStyle w:val="a6"/>
      <w:ind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3E893C" w14:textId="77777777" w:rsidR="00CC6399" w:rsidRDefault="00CC6399">
    <w:pPr>
      <w:pStyle w:val="a6"/>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3A88ECF" w14:textId="77777777" w:rsidR="00CC6399" w:rsidRDefault="00CC6399">
    <w:pPr>
      <w:pStyle w:val="a6"/>
      <w:ind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A77F70F" w14:textId="77777777" w:rsidR="00BA100A" w:rsidRDefault="00BA100A">
      <w:pPr>
        <w:ind w:firstLine="420"/>
      </w:pPr>
      <w:r>
        <w:separator/>
      </w:r>
    </w:p>
  </w:footnote>
  <w:footnote w:type="continuationSeparator" w:id="0">
    <w:p w14:paraId="338D61E6" w14:textId="77777777" w:rsidR="00BA100A" w:rsidRDefault="00BA100A">
      <w:pPr>
        <w:ind w:firstLine="42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1A50F1" w14:textId="77777777" w:rsidR="00CC6399" w:rsidRDefault="00CC6399">
    <w:pPr>
      <w:ind w:firstLine="42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FC517D5" w14:textId="77777777" w:rsidR="00CC6399" w:rsidRDefault="00CC6399">
    <w:pPr>
      <w:ind w:left="420" w:firstLineChars="0" w:firstLine="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19DEC39" w14:textId="77777777" w:rsidR="00CC6399" w:rsidRDefault="00CC6399">
    <w:pPr>
      <w:ind w:firstLine="42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420"/>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2"/>
  </w:compat>
  <w:rsids>
    <w:rsidRoot w:val="000C7F21"/>
    <w:rsid w:val="9FF7FBAF"/>
    <w:rsid w:val="BBDD6447"/>
    <w:rsid w:val="DF76C367"/>
    <w:rsid w:val="E6CFD88A"/>
    <w:rsid w:val="E6EF4E32"/>
    <w:rsid w:val="EF2EB38B"/>
    <w:rsid w:val="F5E72777"/>
    <w:rsid w:val="F7FE793D"/>
    <w:rsid w:val="00026CD7"/>
    <w:rsid w:val="000770DF"/>
    <w:rsid w:val="000C0078"/>
    <w:rsid w:val="000C7F21"/>
    <w:rsid w:val="000F2D39"/>
    <w:rsid w:val="001237EF"/>
    <w:rsid w:val="0015208B"/>
    <w:rsid w:val="00152FC4"/>
    <w:rsid w:val="00165135"/>
    <w:rsid w:val="00165F3C"/>
    <w:rsid w:val="0017693E"/>
    <w:rsid w:val="001B6911"/>
    <w:rsid w:val="001C7F8B"/>
    <w:rsid w:val="00243B53"/>
    <w:rsid w:val="00247CE9"/>
    <w:rsid w:val="00252767"/>
    <w:rsid w:val="00277F06"/>
    <w:rsid w:val="002C5E71"/>
    <w:rsid w:val="00314033"/>
    <w:rsid w:val="00332DA6"/>
    <w:rsid w:val="00392B2F"/>
    <w:rsid w:val="003A48EB"/>
    <w:rsid w:val="003A5220"/>
    <w:rsid w:val="003A6820"/>
    <w:rsid w:val="003C3B6D"/>
    <w:rsid w:val="00402CD0"/>
    <w:rsid w:val="00443ADA"/>
    <w:rsid w:val="00464C04"/>
    <w:rsid w:val="004A0822"/>
    <w:rsid w:val="004B4938"/>
    <w:rsid w:val="004E7999"/>
    <w:rsid w:val="00500E55"/>
    <w:rsid w:val="00515FA9"/>
    <w:rsid w:val="00554D16"/>
    <w:rsid w:val="00562F84"/>
    <w:rsid w:val="005B0426"/>
    <w:rsid w:val="005D513E"/>
    <w:rsid w:val="005F4DF5"/>
    <w:rsid w:val="006209C6"/>
    <w:rsid w:val="00627B98"/>
    <w:rsid w:val="00630FFF"/>
    <w:rsid w:val="00654FD7"/>
    <w:rsid w:val="00657CDE"/>
    <w:rsid w:val="00662DD6"/>
    <w:rsid w:val="00664296"/>
    <w:rsid w:val="0068775E"/>
    <w:rsid w:val="006929FC"/>
    <w:rsid w:val="006A7D65"/>
    <w:rsid w:val="006D024C"/>
    <w:rsid w:val="006F57C4"/>
    <w:rsid w:val="00700C62"/>
    <w:rsid w:val="007110D7"/>
    <w:rsid w:val="00732729"/>
    <w:rsid w:val="00743B92"/>
    <w:rsid w:val="00743C4D"/>
    <w:rsid w:val="007471CF"/>
    <w:rsid w:val="00751654"/>
    <w:rsid w:val="00774432"/>
    <w:rsid w:val="007846D8"/>
    <w:rsid w:val="007907E3"/>
    <w:rsid w:val="00795542"/>
    <w:rsid w:val="007B4770"/>
    <w:rsid w:val="007C6969"/>
    <w:rsid w:val="00850380"/>
    <w:rsid w:val="00851C0F"/>
    <w:rsid w:val="00852581"/>
    <w:rsid w:val="008C28D6"/>
    <w:rsid w:val="008E4CA1"/>
    <w:rsid w:val="008F190F"/>
    <w:rsid w:val="008F1F7A"/>
    <w:rsid w:val="00924C85"/>
    <w:rsid w:val="00943E73"/>
    <w:rsid w:val="009544FC"/>
    <w:rsid w:val="00965123"/>
    <w:rsid w:val="00981ECD"/>
    <w:rsid w:val="00982312"/>
    <w:rsid w:val="00986E66"/>
    <w:rsid w:val="009924F0"/>
    <w:rsid w:val="009A50FC"/>
    <w:rsid w:val="009A6707"/>
    <w:rsid w:val="009C7F89"/>
    <w:rsid w:val="009D4D7B"/>
    <w:rsid w:val="00A47BC0"/>
    <w:rsid w:val="00A61663"/>
    <w:rsid w:val="00A72660"/>
    <w:rsid w:val="00A85610"/>
    <w:rsid w:val="00AE263B"/>
    <w:rsid w:val="00B80D09"/>
    <w:rsid w:val="00BA100A"/>
    <w:rsid w:val="00C037A8"/>
    <w:rsid w:val="00C21D41"/>
    <w:rsid w:val="00C35A89"/>
    <w:rsid w:val="00C555EA"/>
    <w:rsid w:val="00C5663A"/>
    <w:rsid w:val="00C61110"/>
    <w:rsid w:val="00C81F2B"/>
    <w:rsid w:val="00CC6399"/>
    <w:rsid w:val="00D42237"/>
    <w:rsid w:val="00D85C84"/>
    <w:rsid w:val="00D87A3E"/>
    <w:rsid w:val="00E06CCC"/>
    <w:rsid w:val="00E147FD"/>
    <w:rsid w:val="00E20E9E"/>
    <w:rsid w:val="00E21FB7"/>
    <w:rsid w:val="00EC5226"/>
    <w:rsid w:val="00ED6C98"/>
    <w:rsid w:val="00F0164B"/>
    <w:rsid w:val="00F14ED6"/>
    <w:rsid w:val="00FC6E3A"/>
    <w:rsid w:val="00FD1708"/>
    <w:rsid w:val="00FE7C02"/>
    <w:rsid w:val="00FF7964"/>
    <w:rsid w:val="157666B4"/>
    <w:rsid w:val="294C5564"/>
    <w:rsid w:val="2A924D25"/>
    <w:rsid w:val="2FD07DE5"/>
    <w:rsid w:val="75604778"/>
    <w:rsid w:val="7AFFF250"/>
    <w:rsid w:val="7B7D398F"/>
    <w:rsid w:val="7E5C4121"/>
    <w:rsid w:val="7FFFA43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F1BCE09E-831F-409B-8150-0D0EBF5D6D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0"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spacing w:line="360" w:lineRule="auto"/>
      <w:ind w:firstLineChars="200" w:firstLine="200"/>
      <w:jc w:val="both"/>
    </w:pPr>
    <w:rPr>
      <w:rFonts w:asciiTheme="minorHAnsi" w:eastAsiaTheme="minorEastAsia" w:hAnsiTheme="minorHAnsi" w:cstheme="minorBid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Char"/>
    <w:uiPriority w:val="99"/>
    <w:semiHidden/>
    <w:unhideWhenUsed/>
    <w:qFormat/>
    <w:pPr>
      <w:jc w:val="left"/>
    </w:pPr>
  </w:style>
  <w:style w:type="paragraph" w:styleId="a4">
    <w:name w:val="Body Text"/>
    <w:basedOn w:val="a"/>
    <w:link w:val="Char0"/>
    <w:uiPriority w:val="1"/>
    <w:qFormat/>
    <w:pPr>
      <w:autoSpaceDE w:val="0"/>
      <w:autoSpaceDN w:val="0"/>
      <w:spacing w:line="240" w:lineRule="auto"/>
      <w:ind w:left="220" w:firstLineChars="0" w:firstLine="0"/>
      <w:jc w:val="left"/>
    </w:pPr>
    <w:rPr>
      <w:rFonts w:ascii="宋体" w:eastAsia="宋体" w:hAnsi="宋体" w:cs="宋体"/>
      <w:kern w:val="0"/>
      <w:sz w:val="28"/>
      <w:szCs w:val="28"/>
    </w:rPr>
  </w:style>
  <w:style w:type="paragraph" w:styleId="a5">
    <w:name w:val="Balloon Text"/>
    <w:basedOn w:val="a"/>
    <w:link w:val="Char1"/>
    <w:uiPriority w:val="99"/>
    <w:semiHidden/>
    <w:unhideWhenUsed/>
    <w:qFormat/>
    <w:pPr>
      <w:spacing w:line="240" w:lineRule="auto"/>
    </w:pPr>
    <w:rPr>
      <w:sz w:val="18"/>
      <w:szCs w:val="18"/>
    </w:rPr>
  </w:style>
  <w:style w:type="paragraph" w:styleId="a6">
    <w:name w:val="footer"/>
    <w:basedOn w:val="a"/>
    <w:link w:val="Char2"/>
    <w:uiPriority w:val="99"/>
    <w:unhideWhenUsed/>
    <w:qFormat/>
    <w:pPr>
      <w:tabs>
        <w:tab w:val="center" w:pos="4153"/>
        <w:tab w:val="right" w:pos="8306"/>
      </w:tabs>
      <w:snapToGrid w:val="0"/>
      <w:spacing w:line="240" w:lineRule="auto"/>
      <w:jc w:val="left"/>
    </w:pPr>
    <w:rPr>
      <w:sz w:val="18"/>
      <w:szCs w:val="18"/>
    </w:rPr>
  </w:style>
  <w:style w:type="paragraph" w:styleId="a7">
    <w:name w:val="header"/>
    <w:basedOn w:val="a"/>
    <w:link w:val="Char3"/>
    <w:uiPriority w:val="99"/>
    <w:semiHidden/>
    <w:unhideWhenUsed/>
    <w:qFormat/>
    <w:pPr>
      <w:pBdr>
        <w:bottom w:val="single" w:sz="6" w:space="1" w:color="auto"/>
      </w:pBdr>
      <w:tabs>
        <w:tab w:val="center" w:pos="4153"/>
        <w:tab w:val="right" w:pos="8306"/>
      </w:tabs>
      <w:snapToGrid w:val="0"/>
      <w:spacing w:line="240" w:lineRule="auto"/>
      <w:jc w:val="center"/>
    </w:pPr>
    <w:rPr>
      <w:sz w:val="18"/>
      <w:szCs w:val="18"/>
    </w:rPr>
  </w:style>
  <w:style w:type="paragraph" w:styleId="a8">
    <w:name w:val="annotation subject"/>
    <w:basedOn w:val="a3"/>
    <w:next w:val="a3"/>
    <w:link w:val="Char4"/>
    <w:uiPriority w:val="99"/>
    <w:semiHidden/>
    <w:unhideWhenUsed/>
    <w:qFormat/>
    <w:rPr>
      <w:b/>
      <w:bCs/>
    </w:rPr>
  </w:style>
  <w:style w:type="table" w:styleId="a9">
    <w:name w:val="Table Grid"/>
    <w:basedOn w:val="a1"/>
    <w:qFormat/>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a">
    <w:name w:val="annotation reference"/>
    <w:basedOn w:val="a0"/>
    <w:uiPriority w:val="99"/>
    <w:semiHidden/>
    <w:unhideWhenUsed/>
    <w:qFormat/>
    <w:rPr>
      <w:sz w:val="21"/>
      <w:szCs w:val="21"/>
    </w:rPr>
  </w:style>
  <w:style w:type="character" w:customStyle="1" w:styleId="Char3">
    <w:name w:val="页眉 Char"/>
    <w:basedOn w:val="a0"/>
    <w:link w:val="a7"/>
    <w:uiPriority w:val="99"/>
    <w:semiHidden/>
    <w:qFormat/>
    <w:rPr>
      <w:sz w:val="18"/>
      <w:szCs w:val="18"/>
    </w:rPr>
  </w:style>
  <w:style w:type="character" w:customStyle="1" w:styleId="Char2">
    <w:name w:val="页脚 Char"/>
    <w:basedOn w:val="a0"/>
    <w:link w:val="a6"/>
    <w:uiPriority w:val="99"/>
    <w:qFormat/>
    <w:rPr>
      <w:sz w:val="18"/>
      <w:szCs w:val="18"/>
    </w:rPr>
  </w:style>
  <w:style w:type="paragraph" w:customStyle="1" w:styleId="p0">
    <w:name w:val="p0"/>
    <w:basedOn w:val="a"/>
    <w:qFormat/>
    <w:pPr>
      <w:widowControl/>
      <w:spacing w:line="240" w:lineRule="auto"/>
      <w:ind w:firstLineChars="0" w:firstLine="0"/>
    </w:pPr>
    <w:rPr>
      <w:rFonts w:ascii="Book Antiqua" w:eastAsia="宋体" w:hAnsi="Book Antiqua" w:cs="宋体"/>
      <w:kern w:val="0"/>
      <w:sz w:val="24"/>
      <w:szCs w:val="24"/>
    </w:rPr>
  </w:style>
  <w:style w:type="character" w:customStyle="1" w:styleId="htd0">
    <w:name w:val="htd0"/>
    <w:basedOn w:val="a0"/>
    <w:qFormat/>
  </w:style>
  <w:style w:type="character" w:customStyle="1" w:styleId="Char0">
    <w:name w:val="正文文本 Char"/>
    <w:basedOn w:val="a0"/>
    <w:link w:val="a4"/>
    <w:uiPriority w:val="1"/>
    <w:qFormat/>
    <w:rPr>
      <w:rFonts w:ascii="宋体" w:eastAsia="宋体" w:hAnsi="宋体" w:cs="宋体"/>
      <w:kern w:val="0"/>
      <w:sz w:val="28"/>
      <w:szCs w:val="28"/>
    </w:rPr>
  </w:style>
  <w:style w:type="character" w:customStyle="1" w:styleId="Char">
    <w:name w:val="批注文字 Char"/>
    <w:basedOn w:val="a0"/>
    <w:link w:val="a3"/>
    <w:uiPriority w:val="99"/>
    <w:semiHidden/>
    <w:qFormat/>
  </w:style>
  <w:style w:type="character" w:customStyle="1" w:styleId="Char4">
    <w:name w:val="批注主题 Char"/>
    <w:basedOn w:val="Char"/>
    <w:link w:val="a8"/>
    <w:uiPriority w:val="99"/>
    <w:semiHidden/>
    <w:qFormat/>
    <w:rPr>
      <w:b/>
      <w:bCs/>
    </w:rPr>
  </w:style>
  <w:style w:type="character" w:customStyle="1" w:styleId="Char1">
    <w:name w:val="批注框文本 Char"/>
    <w:basedOn w:val="a0"/>
    <w:link w:val="a5"/>
    <w:uiPriority w:val="99"/>
    <w:semiHidden/>
    <w:qFormat/>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5</Pages>
  <Words>407</Words>
  <Characters>2323</Characters>
  <Application>Microsoft Office Word</Application>
  <DocSecurity>0</DocSecurity>
  <Lines>19</Lines>
  <Paragraphs>5</Paragraphs>
  <ScaleCrop>false</ScaleCrop>
  <Company/>
  <LinksUpToDate>false</LinksUpToDate>
  <CharactersWithSpaces>2725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dc:creator>
  <cp:lastModifiedBy>郑妍</cp:lastModifiedBy>
  <cp:revision>86</cp:revision>
  <dcterms:created xsi:type="dcterms:W3CDTF">2022-10-22T07:19:00Z</dcterms:created>
  <dcterms:modified xsi:type="dcterms:W3CDTF">2026-04-28T11:47:00Z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1AA5C6BF6DC34284D2482F662B2A54E5_42</vt:lpwstr>
  </property>
  <property fmtid="{D5CDD505-2E9C-101B-9397-08002B2CF9AE}" pid="4" name="KSOTemplateDocerSaveRecord">
    <vt:lpwstr>eyJoZGlkIjoiMzEwNTM5NzYwMDRjMzkwZTVkZjY2ODkwMGIxNGU0OTUiLCJ1c2VySWQiOiIzODY2MjY2MzQifQ==</vt:lpwstr>
  </property>
</Properties>
</file>