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21E58" w14:textId="5BCE932E" w:rsidR="009A7554" w:rsidRDefault="006C065B" w:rsidP="00F6786A">
      <w:pPr>
        <w:autoSpaceDE w:val="0"/>
        <w:autoSpaceDN w:val="0"/>
        <w:adjustRightInd w:val="0"/>
        <w:spacing w:line="600" w:lineRule="exact"/>
        <w:rPr>
          <w:rFonts w:ascii="黑体" w:eastAsia="黑体" w:hAnsi="黑体"/>
          <w:b/>
          <w:bCs/>
          <w:sz w:val="28"/>
          <w:szCs w:val="28"/>
        </w:rPr>
      </w:pPr>
      <w:bookmarkStart w:id="0" w:name="_Toc359483103"/>
      <w:r>
        <w:rPr>
          <w:rFonts w:ascii="黑体" w:eastAsia="黑体" w:hAnsi="黑体" w:hint="eastAsia"/>
          <w:b/>
          <w:bCs/>
          <w:sz w:val="28"/>
          <w:szCs w:val="28"/>
        </w:rPr>
        <w:t>证券代码：688159</w:t>
      </w:r>
      <w:r w:rsidR="00F6786A">
        <w:rPr>
          <w:rFonts w:ascii="黑体" w:eastAsia="黑体" w:hAnsi="黑体"/>
          <w:b/>
          <w:bCs/>
          <w:sz w:val="28"/>
          <w:szCs w:val="28"/>
        </w:rPr>
        <w:t xml:space="preserve">    </w:t>
      </w:r>
      <w:r>
        <w:rPr>
          <w:rFonts w:ascii="黑体" w:eastAsia="黑体" w:hAnsi="黑体" w:hint="eastAsia"/>
          <w:b/>
          <w:bCs/>
          <w:sz w:val="28"/>
          <w:szCs w:val="28"/>
        </w:rPr>
        <w:t>证券简称：有方科技</w:t>
      </w:r>
      <w:r w:rsidR="00F6786A">
        <w:rPr>
          <w:rFonts w:ascii="黑体" w:eastAsia="黑体" w:hAnsi="黑体"/>
          <w:b/>
          <w:bCs/>
          <w:sz w:val="28"/>
          <w:szCs w:val="28"/>
        </w:rPr>
        <w:t xml:space="preserve">    </w:t>
      </w:r>
      <w:r>
        <w:rPr>
          <w:rFonts w:ascii="黑体" w:eastAsia="黑体" w:hAnsi="黑体" w:hint="eastAsia"/>
          <w:b/>
          <w:bCs/>
          <w:sz w:val="28"/>
          <w:szCs w:val="28"/>
        </w:rPr>
        <w:t>公告编号：20</w:t>
      </w:r>
      <w:r w:rsidRPr="007617C4">
        <w:rPr>
          <w:rFonts w:ascii="黑体" w:eastAsia="黑体" w:hAnsi="黑体" w:hint="eastAsia"/>
          <w:b/>
          <w:bCs/>
          <w:sz w:val="28"/>
          <w:szCs w:val="28"/>
        </w:rPr>
        <w:t>2</w:t>
      </w:r>
      <w:r w:rsidRPr="007617C4">
        <w:rPr>
          <w:rFonts w:ascii="黑体" w:eastAsia="黑体" w:hAnsi="黑体"/>
          <w:b/>
          <w:bCs/>
          <w:sz w:val="28"/>
          <w:szCs w:val="28"/>
        </w:rPr>
        <w:t>6-0</w:t>
      </w:r>
      <w:r w:rsidR="007617C4" w:rsidRPr="007617C4">
        <w:rPr>
          <w:rFonts w:ascii="黑体" w:eastAsia="黑体" w:hAnsi="黑体"/>
          <w:b/>
          <w:bCs/>
          <w:sz w:val="28"/>
          <w:szCs w:val="28"/>
        </w:rPr>
        <w:t>14</w:t>
      </w:r>
    </w:p>
    <w:bookmarkEnd w:id="0"/>
    <w:p w14:paraId="48C5F33B" w14:textId="77777777" w:rsidR="009A7554" w:rsidRDefault="009A7554">
      <w:pPr>
        <w:adjustRightInd w:val="0"/>
        <w:snapToGrid w:val="0"/>
        <w:ind w:firstLineChars="200" w:firstLine="482"/>
        <w:jc w:val="left"/>
        <w:rPr>
          <w:rFonts w:ascii="黑体" w:eastAsia="黑体" w:hAnsi="黑体"/>
          <w:b/>
          <w:bCs/>
          <w:sz w:val="24"/>
        </w:rPr>
      </w:pPr>
    </w:p>
    <w:p w14:paraId="3F95F875" w14:textId="77777777" w:rsidR="009A7554" w:rsidRDefault="006C065B">
      <w:pPr>
        <w:tabs>
          <w:tab w:val="left" w:pos="900"/>
        </w:tabs>
        <w:adjustRightInd w:val="0"/>
        <w:snapToGrid w:val="0"/>
        <w:jc w:val="center"/>
        <w:rPr>
          <w:rFonts w:ascii="黑体" w:eastAsia="黑体" w:hAnsi="黑体"/>
          <w:b/>
          <w:bCs/>
          <w:sz w:val="44"/>
          <w:szCs w:val="44"/>
        </w:rPr>
      </w:pPr>
      <w:r>
        <w:rPr>
          <w:rFonts w:ascii="黑体" w:eastAsia="黑体" w:hAnsi="黑体" w:hint="eastAsia"/>
          <w:b/>
          <w:bCs/>
          <w:sz w:val="44"/>
          <w:szCs w:val="44"/>
        </w:rPr>
        <w:t>深圳市有方科技股份有限</w:t>
      </w:r>
      <w:bookmarkStart w:id="1" w:name="_GoBack"/>
      <w:bookmarkEnd w:id="1"/>
      <w:r>
        <w:rPr>
          <w:rFonts w:ascii="黑体" w:eastAsia="黑体" w:hAnsi="黑体" w:hint="eastAsia"/>
          <w:b/>
          <w:bCs/>
          <w:sz w:val="44"/>
          <w:szCs w:val="44"/>
        </w:rPr>
        <w:t>公司</w:t>
      </w:r>
    </w:p>
    <w:p w14:paraId="41504D3D" w14:textId="77777777" w:rsidR="009A7554" w:rsidRDefault="006C065B">
      <w:pPr>
        <w:tabs>
          <w:tab w:val="left" w:pos="900"/>
        </w:tabs>
        <w:adjustRightInd w:val="0"/>
        <w:snapToGrid w:val="0"/>
        <w:jc w:val="center"/>
        <w:rPr>
          <w:rFonts w:ascii="黑体" w:eastAsia="黑体" w:hAnsi="黑体"/>
          <w:b/>
          <w:bCs/>
          <w:sz w:val="44"/>
          <w:szCs w:val="44"/>
        </w:rPr>
      </w:pPr>
      <w:r>
        <w:rPr>
          <w:rFonts w:ascii="黑体" w:eastAsia="黑体" w:hAnsi="黑体" w:hint="eastAsia"/>
          <w:b/>
          <w:bCs/>
          <w:sz w:val="44"/>
          <w:szCs w:val="44"/>
        </w:rPr>
        <w:t>关于前期会计差错更正的公告</w:t>
      </w:r>
    </w:p>
    <w:p w14:paraId="77C5F355" w14:textId="77777777" w:rsidR="009A7554" w:rsidRDefault="009A7554">
      <w:pPr>
        <w:tabs>
          <w:tab w:val="left" w:pos="900"/>
        </w:tabs>
        <w:adjustRightInd w:val="0"/>
        <w:snapToGrid w:val="0"/>
        <w:ind w:firstLineChars="200" w:firstLine="480"/>
        <w:jc w:val="center"/>
        <w:rPr>
          <w:rFonts w:ascii="宋体" w:hAnsi="宋体"/>
          <w:color w:val="000000"/>
          <w:sz w:val="24"/>
        </w:rPr>
      </w:pPr>
    </w:p>
    <w:p w14:paraId="40AFE41E" w14:textId="77777777" w:rsidR="009A7554" w:rsidRDefault="006C065B">
      <w:pPr>
        <w:pBdr>
          <w:top w:val="single" w:sz="4" w:space="12" w:color="auto"/>
          <w:left w:val="single" w:sz="4" w:space="4" w:color="auto"/>
          <w:bottom w:val="single" w:sz="4" w:space="1" w:color="auto"/>
          <w:right w:val="single" w:sz="4" w:space="4" w:color="auto"/>
        </w:pBd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本公司董事会及全体董事保证本公告内容不存在任何虚假记载、误导性陈述或者重大遗漏，并对其内容的真实性、准确性和完整性承担个别及连带责任。</w:t>
      </w:r>
    </w:p>
    <w:p w14:paraId="45083F6D" w14:textId="77777777" w:rsidR="009A7554" w:rsidRDefault="009A7554">
      <w:pPr>
        <w:adjustRightInd w:val="0"/>
        <w:snapToGrid w:val="0"/>
        <w:spacing w:line="520" w:lineRule="exact"/>
        <w:rPr>
          <w:rFonts w:ascii="仿宋_GB2312" w:eastAsia="仿宋_GB2312"/>
          <w:b/>
          <w:sz w:val="28"/>
        </w:rPr>
      </w:pPr>
    </w:p>
    <w:p w14:paraId="68761B80" w14:textId="77777777" w:rsidR="009A7554" w:rsidRDefault="009A7554">
      <w:pPr>
        <w:tabs>
          <w:tab w:val="left" w:pos="0"/>
        </w:tabs>
        <w:autoSpaceDE w:val="0"/>
        <w:autoSpaceDN w:val="0"/>
        <w:adjustRightInd w:val="0"/>
        <w:snapToGrid w:val="0"/>
        <w:spacing w:line="360" w:lineRule="auto"/>
        <w:ind w:firstLineChars="200" w:firstLine="482"/>
        <w:rPr>
          <w:rFonts w:ascii="宋体" w:hAnsi="宋体" w:cs="宋体"/>
          <w:b/>
          <w:color w:val="000000"/>
          <w:kern w:val="0"/>
          <w:sz w:val="24"/>
        </w:rPr>
      </w:pPr>
    </w:p>
    <w:p w14:paraId="1609F4B7" w14:textId="77777777" w:rsidR="009A7554" w:rsidRDefault="006C065B">
      <w:pPr>
        <w:tabs>
          <w:tab w:val="left" w:pos="0"/>
        </w:tabs>
        <w:autoSpaceDE w:val="0"/>
        <w:autoSpaceDN w:val="0"/>
        <w:adjustRightInd w:val="0"/>
        <w:snapToGrid w:val="0"/>
        <w:spacing w:line="360" w:lineRule="auto"/>
        <w:rPr>
          <w:rFonts w:ascii="宋体" w:hAnsi="宋体" w:cs="宋体"/>
          <w:b/>
          <w:color w:val="000000"/>
          <w:kern w:val="0"/>
          <w:sz w:val="28"/>
          <w:szCs w:val="28"/>
        </w:rPr>
      </w:pPr>
      <w:r>
        <w:rPr>
          <w:rFonts w:ascii="宋体" w:hAnsi="宋体" w:cs="宋体" w:hint="eastAsia"/>
          <w:b/>
          <w:color w:val="000000"/>
          <w:kern w:val="0"/>
          <w:sz w:val="28"/>
          <w:szCs w:val="28"/>
        </w:rPr>
        <w:t>重要内容提示：</w:t>
      </w:r>
    </w:p>
    <w:p w14:paraId="1D920845" w14:textId="3925FDBC" w:rsidR="009A7554" w:rsidRPr="001F25DF" w:rsidRDefault="006C065B">
      <w:pPr>
        <w:pStyle w:val="a8"/>
        <w:numPr>
          <w:ilvl w:val="0"/>
          <w:numId w:val="1"/>
        </w:numPr>
        <w:ind w:firstLineChars="0"/>
        <w:rPr>
          <w:rFonts w:ascii="宋体" w:hAnsi="宋体" w:cs="宋体"/>
          <w:color w:val="000000"/>
          <w:kern w:val="0"/>
          <w:sz w:val="28"/>
          <w:szCs w:val="28"/>
        </w:rPr>
      </w:pPr>
      <w:r>
        <w:rPr>
          <w:rFonts w:ascii="宋体" w:hAnsi="宋体" w:cs="宋体" w:hint="eastAsia"/>
          <w:color w:val="000000"/>
          <w:kern w:val="0"/>
          <w:sz w:val="28"/>
          <w:szCs w:val="28"/>
        </w:rPr>
        <w:t>本次会计差错更正是基于深圳市有方科技股份有限公</w:t>
      </w:r>
      <w:r>
        <w:rPr>
          <w:color w:val="000000"/>
          <w:kern w:val="0"/>
          <w:sz w:val="28"/>
          <w:szCs w:val="28"/>
        </w:rPr>
        <w:t>司（以下简称</w:t>
      </w:r>
      <w:r>
        <w:rPr>
          <w:color w:val="000000"/>
          <w:kern w:val="0"/>
          <w:sz w:val="28"/>
          <w:szCs w:val="28"/>
        </w:rPr>
        <w:t>“</w:t>
      </w:r>
      <w:r>
        <w:rPr>
          <w:color w:val="000000"/>
          <w:kern w:val="0"/>
          <w:sz w:val="28"/>
          <w:szCs w:val="28"/>
        </w:rPr>
        <w:t>公司</w:t>
      </w:r>
      <w:r>
        <w:rPr>
          <w:color w:val="000000"/>
          <w:kern w:val="0"/>
          <w:sz w:val="28"/>
          <w:szCs w:val="28"/>
        </w:rPr>
        <w:t>”</w:t>
      </w:r>
      <w:r>
        <w:rPr>
          <w:color w:val="000000"/>
          <w:kern w:val="0"/>
          <w:sz w:val="28"/>
          <w:szCs w:val="28"/>
        </w:rPr>
        <w:t>）</w:t>
      </w:r>
      <w:r>
        <w:rPr>
          <w:rFonts w:hint="eastAsia"/>
          <w:color w:val="000000"/>
          <w:kern w:val="0"/>
          <w:sz w:val="28"/>
          <w:szCs w:val="28"/>
        </w:rPr>
        <w:t>对</w:t>
      </w:r>
      <w:r>
        <w:rPr>
          <w:color w:val="000000"/>
          <w:kern w:val="0"/>
          <w:sz w:val="28"/>
          <w:szCs w:val="28"/>
        </w:rPr>
        <w:t>中华人民共和国财政部（以下简称</w:t>
      </w:r>
      <w:r>
        <w:rPr>
          <w:color w:val="000000"/>
          <w:kern w:val="0"/>
          <w:sz w:val="28"/>
          <w:szCs w:val="28"/>
        </w:rPr>
        <w:t>“</w:t>
      </w:r>
      <w:r>
        <w:rPr>
          <w:color w:val="000000"/>
          <w:kern w:val="0"/>
          <w:sz w:val="28"/>
          <w:szCs w:val="28"/>
        </w:rPr>
        <w:t>财政部</w:t>
      </w:r>
      <w:r>
        <w:rPr>
          <w:color w:val="000000"/>
          <w:kern w:val="0"/>
          <w:sz w:val="28"/>
          <w:szCs w:val="28"/>
        </w:rPr>
        <w:t>”</w:t>
      </w:r>
      <w:r>
        <w:rPr>
          <w:color w:val="000000"/>
          <w:kern w:val="0"/>
          <w:sz w:val="28"/>
          <w:szCs w:val="28"/>
        </w:rPr>
        <w:t>）颁布的《企业会计准则第</w:t>
      </w:r>
      <w:r>
        <w:rPr>
          <w:color w:val="000000"/>
          <w:kern w:val="0"/>
          <w:sz w:val="28"/>
          <w:szCs w:val="28"/>
        </w:rPr>
        <w:t>14</w:t>
      </w:r>
      <w:r>
        <w:rPr>
          <w:color w:val="000000"/>
          <w:kern w:val="0"/>
          <w:sz w:val="28"/>
          <w:szCs w:val="28"/>
        </w:rPr>
        <w:t>号</w:t>
      </w:r>
      <w:r>
        <w:rPr>
          <w:color w:val="000000"/>
          <w:kern w:val="0"/>
          <w:sz w:val="28"/>
          <w:szCs w:val="28"/>
        </w:rPr>
        <w:t>——</w:t>
      </w:r>
      <w:r>
        <w:rPr>
          <w:color w:val="000000"/>
          <w:kern w:val="0"/>
          <w:sz w:val="28"/>
          <w:szCs w:val="28"/>
        </w:rPr>
        <w:t>收入》《</w:t>
      </w:r>
      <w:r>
        <w:rPr>
          <w:rFonts w:hint="eastAsia"/>
          <w:color w:val="000000"/>
          <w:kern w:val="0"/>
          <w:sz w:val="28"/>
          <w:szCs w:val="28"/>
        </w:rPr>
        <w:t>关于严格执行企业会计准则、切实做好企业</w:t>
      </w:r>
      <w:r>
        <w:rPr>
          <w:rFonts w:hint="eastAsia"/>
          <w:color w:val="000000"/>
          <w:kern w:val="0"/>
          <w:sz w:val="28"/>
          <w:szCs w:val="28"/>
        </w:rPr>
        <w:t>2025</w:t>
      </w:r>
      <w:r>
        <w:rPr>
          <w:rFonts w:hint="eastAsia"/>
          <w:color w:val="000000"/>
          <w:kern w:val="0"/>
          <w:sz w:val="28"/>
          <w:szCs w:val="28"/>
        </w:rPr>
        <w:t>年年报工作的通知</w:t>
      </w:r>
      <w:r>
        <w:rPr>
          <w:color w:val="000000"/>
          <w:kern w:val="0"/>
          <w:sz w:val="28"/>
          <w:szCs w:val="28"/>
        </w:rPr>
        <w:t>》等规定对收入确认的总额法、净额法的理解进一步加深而</w:t>
      </w:r>
      <w:r>
        <w:rPr>
          <w:rFonts w:hint="eastAsia"/>
          <w:color w:val="000000"/>
          <w:kern w:val="0"/>
          <w:sz w:val="28"/>
          <w:szCs w:val="28"/>
        </w:rPr>
        <w:t>调整</w:t>
      </w:r>
      <w:r>
        <w:rPr>
          <w:color w:val="000000"/>
          <w:kern w:val="0"/>
          <w:sz w:val="28"/>
          <w:szCs w:val="28"/>
        </w:rPr>
        <w:t>，</w:t>
      </w:r>
      <w:r>
        <w:rPr>
          <w:rFonts w:hint="eastAsia"/>
          <w:color w:val="000000"/>
          <w:kern w:val="0"/>
          <w:sz w:val="28"/>
          <w:szCs w:val="28"/>
        </w:rPr>
        <w:t>涉及公司</w:t>
      </w:r>
      <w:r>
        <w:rPr>
          <w:rFonts w:hint="eastAsia"/>
          <w:color w:val="000000"/>
          <w:kern w:val="0"/>
          <w:sz w:val="28"/>
          <w:szCs w:val="28"/>
        </w:rPr>
        <w:t>2025</w:t>
      </w:r>
      <w:r>
        <w:rPr>
          <w:rFonts w:hint="eastAsia"/>
          <w:color w:val="000000"/>
          <w:kern w:val="0"/>
          <w:sz w:val="28"/>
          <w:szCs w:val="28"/>
        </w:rPr>
        <w:t>年第一季度报告、半年度报告、第三季度报告的</w:t>
      </w:r>
      <w:r>
        <w:rPr>
          <w:color w:val="000000"/>
          <w:kern w:val="0"/>
          <w:sz w:val="28"/>
          <w:szCs w:val="28"/>
        </w:rPr>
        <w:t>营业收入及营业成本科</w:t>
      </w:r>
      <w:r w:rsidRPr="001F25DF">
        <w:rPr>
          <w:color w:val="000000"/>
          <w:kern w:val="0"/>
          <w:sz w:val="28"/>
          <w:szCs w:val="28"/>
        </w:rPr>
        <w:t>目</w:t>
      </w:r>
      <w:r w:rsidRPr="001F25DF">
        <w:rPr>
          <w:rFonts w:hint="eastAsia"/>
          <w:color w:val="000000"/>
          <w:kern w:val="0"/>
          <w:sz w:val="28"/>
          <w:szCs w:val="28"/>
        </w:rPr>
        <w:t>。</w:t>
      </w:r>
    </w:p>
    <w:p w14:paraId="16FDC396" w14:textId="0AAE9950" w:rsidR="009A7554" w:rsidRPr="001F25DF" w:rsidRDefault="006C065B">
      <w:pPr>
        <w:pStyle w:val="a8"/>
        <w:numPr>
          <w:ilvl w:val="0"/>
          <w:numId w:val="1"/>
        </w:numPr>
        <w:ind w:firstLineChars="0"/>
        <w:rPr>
          <w:rFonts w:ascii="宋体" w:hAnsi="宋体" w:cs="宋体"/>
          <w:color w:val="000000"/>
          <w:kern w:val="0"/>
          <w:sz w:val="28"/>
          <w:szCs w:val="28"/>
        </w:rPr>
      </w:pPr>
      <w:r w:rsidRPr="001F25DF">
        <w:rPr>
          <w:color w:val="000000"/>
          <w:kern w:val="0"/>
          <w:sz w:val="28"/>
          <w:szCs w:val="28"/>
        </w:rPr>
        <w:t>本次会计差错更正事项符合相应的会计政策，符合相关法律法规的规定和公司实际情况</w:t>
      </w:r>
      <w:r w:rsidRPr="001F25DF">
        <w:rPr>
          <w:rFonts w:hint="eastAsia"/>
          <w:color w:val="000000"/>
          <w:kern w:val="0"/>
          <w:sz w:val="28"/>
          <w:szCs w:val="28"/>
        </w:rPr>
        <w:t>。</w:t>
      </w:r>
      <w:r w:rsidR="000856C0" w:rsidRPr="001F25DF">
        <w:rPr>
          <w:rFonts w:hint="eastAsia"/>
          <w:color w:val="000000"/>
          <w:kern w:val="0"/>
          <w:sz w:val="28"/>
          <w:szCs w:val="28"/>
        </w:rPr>
        <w:t>本次更正</w:t>
      </w:r>
      <w:r w:rsidRPr="001F25DF">
        <w:rPr>
          <w:rFonts w:ascii="宋体" w:hAnsi="宋体" w:cs="宋体" w:hint="eastAsia"/>
          <w:color w:val="000000"/>
          <w:kern w:val="0"/>
          <w:sz w:val="28"/>
          <w:szCs w:val="28"/>
        </w:rPr>
        <w:t>不会对上市公司损益、总资产、净资产等产生影响，</w:t>
      </w:r>
      <w:r w:rsidRPr="001F25DF">
        <w:rPr>
          <w:rFonts w:hint="eastAsia"/>
          <w:color w:val="000000"/>
          <w:kern w:val="0"/>
          <w:sz w:val="28"/>
          <w:szCs w:val="28"/>
        </w:rPr>
        <w:t>不涉及对公司以前年度报告的追溯调整，不属于重大会计差错</w:t>
      </w:r>
      <w:r w:rsidRPr="001F25DF">
        <w:rPr>
          <w:rFonts w:ascii="宋体" w:hAnsi="宋体" w:cs="宋体" w:hint="eastAsia"/>
          <w:color w:val="000000"/>
          <w:kern w:val="0"/>
          <w:sz w:val="28"/>
          <w:szCs w:val="28"/>
        </w:rPr>
        <w:t>，不会对公司财务状况、经营成果和现金流量产生重大影响，亦不存在损害公司及股东利益的情况。</w:t>
      </w:r>
    </w:p>
    <w:p w14:paraId="20450053" w14:textId="77777777" w:rsidR="009A7554" w:rsidRDefault="009A7554">
      <w:pPr>
        <w:adjustRightInd w:val="0"/>
        <w:snapToGrid w:val="0"/>
        <w:spacing w:line="360" w:lineRule="auto"/>
        <w:rPr>
          <w:rFonts w:ascii="宋体" w:hAnsi="宋体"/>
          <w:b/>
          <w:color w:val="000000"/>
          <w:sz w:val="28"/>
          <w:szCs w:val="28"/>
        </w:rPr>
      </w:pPr>
    </w:p>
    <w:p w14:paraId="122A37C9" w14:textId="77777777" w:rsidR="009A7554" w:rsidRDefault="006C065B">
      <w:pPr>
        <w:adjustRightInd w:val="0"/>
        <w:snapToGrid w:val="0"/>
        <w:spacing w:line="360" w:lineRule="auto"/>
        <w:rPr>
          <w:rFonts w:ascii="宋体" w:hAnsi="宋体"/>
          <w:b/>
          <w:color w:val="000000"/>
          <w:sz w:val="28"/>
          <w:szCs w:val="28"/>
        </w:rPr>
      </w:pPr>
      <w:r>
        <w:rPr>
          <w:rFonts w:ascii="宋体" w:hAnsi="宋体" w:hint="eastAsia"/>
          <w:b/>
          <w:color w:val="000000"/>
          <w:sz w:val="28"/>
          <w:szCs w:val="28"/>
        </w:rPr>
        <w:t>一、本次会计差错更正的概述</w:t>
      </w:r>
    </w:p>
    <w:p w14:paraId="042D0F99" w14:textId="77777777" w:rsidR="009A7554" w:rsidRDefault="006C065B">
      <w:pPr>
        <w:adjustRightInd w:val="0"/>
        <w:snapToGrid w:val="0"/>
        <w:spacing w:line="360" w:lineRule="auto"/>
        <w:ind w:firstLineChars="200" w:firstLine="562"/>
        <w:rPr>
          <w:rFonts w:ascii="宋体" w:hAnsi="宋体"/>
          <w:b/>
          <w:bCs/>
          <w:color w:val="000000"/>
          <w:sz w:val="28"/>
          <w:szCs w:val="28"/>
        </w:rPr>
      </w:pPr>
      <w:r>
        <w:rPr>
          <w:rFonts w:ascii="宋体" w:hAnsi="宋体" w:hint="eastAsia"/>
          <w:b/>
          <w:bCs/>
          <w:color w:val="000000"/>
          <w:sz w:val="28"/>
          <w:szCs w:val="28"/>
        </w:rPr>
        <w:t>（一）会计差错更正的原因</w:t>
      </w:r>
    </w:p>
    <w:p w14:paraId="6F395D04" w14:textId="32A283B4" w:rsidR="009A7554" w:rsidRDefault="006C065B">
      <w:pPr>
        <w:adjustRightInd w:val="0"/>
        <w:snapToGrid w:val="0"/>
        <w:spacing w:line="360" w:lineRule="auto"/>
        <w:ind w:firstLineChars="200" w:firstLine="560"/>
        <w:rPr>
          <w:color w:val="000000"/>
          <w:sz w:val="28"/>
          <w:szCs w:val="28"/>
        </w:rPr>
      </w:pPr>
      <w:r>
        <w:rPr>
          <w:rFonts w:hint="eastAsia"/>
          <w:color w:val="000000"/>
          <w:sz w:val="28"/>
          <w:szCs w:val="28"/>
        </w:rPr>
        <w:lastRenderedPageBreak/>
        <w:t>公司分别于</w:t>
      </w:r>
      <w:r>
        <w:rPr>
          <w:rFonts w:hint="eastAsia"/>
          <w:color w:val="000000"/>
          <w:sz w:val="28"/>
          <w:szCs w:val="28"/>
        </w:rPr>
        <w:t>202</w:t>
      </w:r>
      <w:r>
        <w:rPr>
          <w:color w:val="000000"/>
          <w:sz w:val="28"/>
          <w:szCs w:val="28"/>
        </w:rPr>
        <w:t>5</w:t>
      </w:r>
      <w:r>
        <w:rPr>
          <w:rFonts w:hint="eastAsia"/>
          <w:color w:val="000000"/>
          <w:sz w:val="28"/>
          <w:szCs w:val="28"/>
        </w:rPr>
        <w:t>年</w:t>
      </w:r>
      <w:r>
        <w:rPr>
          <w:color w:val="000000"/>
          <w:sz w:val="28"/>
          <w:szCs w:val="28"/>
        </w:rPr>
        <w:t>4</w:t>
      </w:r>
      <w:r>
        <w:rPr>
          <w:rFonts w:hint="eastAsia"/>
          <w:color w:val="000000"/>
          <w:sz w:val="28"/>
          <w:szCs w:val="28"/>
        </w:rPr>
        <w:t>月</w:t>
      </w:r>
      <w:r>
        <w:rPr>
          <w:rFonts w:hint="eastAsia"/>
          <w:color w:val="000000"/>
          <w:sz w:val="28"/>
          <w:szCs w:val="28"/>
        </w:rPr>
        <w:t>3</w:t>
      </w:r>
      <w:r>
        <w:rPr>
          <w:color w:val="000000"/>
          <w:sz w:val="28"/>
          <w:szCs w:val="28"/>
        </w:rPr>
        <w:t>0</w:t>
      </w:r>
      <w:r>
        <w:rPr>
          <w:rFonts w:hint="eastAsia"/>
          <w:color w:val="000000"/>
          <w:sz w:val="28"/>
          <w:szCs w:val="28"/>
        </w:rPr>
        <w:t>日、</w:t>
      </w:r>
      <w:r>
        <w:rPr>
          <w:rFonts w:hint="eastAsia"/>
          <w:color w:val="000000"/>
          <w:sz w:val="28"/>
          <w:szCs w:val="28"/>
        </w:rPr>
        <w:t>202</w:t>
      </w:r>
      <w:r>
        <w:rPr>
          <w:color w:val="000000"/>
          <w:sz w:val="28"/>
          <w:szCs w:val="28"/>
        </w:rPr>
        <w:t>5</w:t>
      </w:r>
      <w:r>
        <w:rPr>
          <w:rFonts w:hint="eastAsia"/>
          <w:color w:val="000000"/>
          <w:sz w:val="28"/>
          <w:szCs w:val="28"/>
        </w:rPr>
        <w:t>年</w:t>
      </w:r>
      <w:r>
        <w:rPr>
          <w:color w:val="000000"/>
          <w:sz w:val="28"/>
          <w:szCs w:val="28"/>
        </w:rPr>
        <w:t>8</w:t>
      </w:r>
      <w:r>
        <w:rPr>
          <w:rFonts w:hint="eastAsia"/>
          <w:color w:val="000000"/>
          <w:sz w:val="28"/>
          <w:szCs w:val="28"/>
        </w:rPr>
        <w:t>月</w:t>
      </w:r>
      <w:r>
        <w:rPr>
          <w:color w:val="000000"/>
          <w:sz w:val="28"/>
          <w:szCs w:val="28"/>
        </w:rPr>
        <w:t>28</w:t>
      </w:r>
      <w:r>
        <w:rPr>
          <w:rFonts w:hint="eastAsia"/>
          <w:color w:val="000000"/>
          <w:sz w:val="28"/>
          <w:szCs w:val="28"/>
        </w:rPr>
        <w:t>日、</w:t>
      </w:r>
      <w:r>
        <w:rPr>
          <w:rFonts w:hint="eastAsia"/>
          <w:color w:val="000000"/>
          <w:sz w:val="28"/>
          <w:szCs w:val="28"/>
        </w:rPr>
        <w:t>2025</w:t>
      </w:r>
      <w:r>
        <w:rPr>
          <w:rFonts w:hint="eastAsia"/>
          <w:color w:val="000000"/>
          <w:sz w:val="28"/>
          <w:szCs w:val="28"/>
        </w:rPr>
        <w:t>年</w:t>
      </w:r>
      <w:r>
        <w:rPr>
          <w:color w:val="000000"/>
          <w:sz w:val="28"/>
          <w:szCs w:val="28"/>
        </w:rPr>
        <w:t>10</w:t>
      </w:r>
      <w:r>
        <w:rPr>
          <w:rFonts w:hint="eastAsia"/>
          <w:color w:val="000000"/>
          <w:sz w:val="28"/>
          <w:szCs w:val="28"/>
        </w:rPr>
        <w:t>月</w:t>
      </w:r>
      <w:r>
        <w:rPr>
          <w:color w:val="000000"/>
          <w:sz w:val="28"/>
          <w:szCs w:val="28"/>
        </w:rPr>
        <w:t>30</w:t>
      </w:r>
      <w:r>
        <w:rPr>
          <w:rFonts w:hint="eastAsia"/>
          <w:color w:val="000000"/>
          <w:sz w:val="28"/>
          <w:szCs w:val="28"/>
        </w:rPr>
        <w:t>日</w:t>
      </w:r>
      <w:r w:rsidR="00011A11">
        <w:rPr>
          <w:rFonts w:hint="eastAsia"/>
          <w:color w:val="000000"/>
          <w:sz w:val="28"/>
          <w:szCs w:val="28"/>
        </w:rPr>
        <w:t>分别</w:t>
      </w:r>
      <w:r>
        <w:rPr>
          <w:rFonts w:hint="eastAsia"/>
          <w:color w:val="000000"/>
          <w:sz w:val="28"/>
          <w:szCs w:val="28"/>
        </w:rPr>
        <w:t>在上海证券交易所网站（</w:t>
      </w:r>
      <w:r>
        <w:rPr>
          <w:rFonts w:hint="eastAsia"/>
          <w:color w:val="000000"/>
          <w:sz w:val="28"/>
          <w:szCs w:val="28"/>
        </w:rPr>
        <w:t>www.sse.com.cn</w:t>
      </w:r>
      <w:r>
        <w:rPr>
          <w:rFonts w:hint="eastAsia"/>
          <w:color w:val="000000"/>
          <w:sz w:val="28"/>
          <w:szCs w:val="28"/>
        </w:rPr>
        <w:t>）披露了</w:t>
      </w:r>
      <w:r>
        <w:rPr>
          <w:color w:val="000000"/>
          <w:kern w:val="0"/>
          <w:sz w:val="28"/>
          <w:szCs w:val="28"/>
        </w:rPr>
        <w:t>《有方科技：</w:t>
      </w:r>
      <w:r>
        <w:rPr>
          <w:rFonts w:hint="eastAsia"/>
          <w:color w:val="000000"/>
          <w:kern w:val="0"/>
          <w:sz w:val="28"/>
          <w:szCs w:val="28"/>
        </w:rPr>
        <w:t>2</w:t>
      </w:r>
      <w:r>
        <w:rPr>
          <w:color w:val="000000"/>
          <w:kern w:val="0"/>
          <w:sz w:val="28"/>
          <w:szCs w:val="28"/>
        </w:rPr>
        <w:t>025</w:t>
      </w:r>
      <w:r>
        <w:rPr>
          <w:color w:val="000000"/>
          <w:kern w:val="0"/>
          <w:sz w:val="28"/>
          <w:szCs w:val="28"/>
        </w:rPr>
        <w:t>年第一季度报告》《有方科技：</w:t>
      </w:r>
      <w:r>
        <w:rPr>
          <w:rFonts w:hint="eastAsia"/>
          <w:color w:val="000000"/>
          <w:kern w:val="0"/>
          <w:sz w:val="28"/>
          <w:szCs w:val="28"/>
        </w:rPr>
        <w:t>2</w:t>
      </w:r>
      <w:r>
        <w:rPr>
          <w:color w:val="000000"/>
          <w:kern w:val="0"/>
          <w:sz w:val="28"/>
          <w:szCs w:val="28"/>
        </w:rPr>
        <w:t>025</w:t>
      </w:r>
      <w:r>
        <w:rPr>
          <w:color w:val="000000"/>
          <w:kern w:val="0"/>
          <w:sz w:val="28"/>
          <w:szCs w:val="28"/>
        </w:rPr>
        <w:t>年半年度报》及其摘要、《有方科技：</w:t>
      </w:r>
      <w:r>
        <w:rPr>
          <w:rFonts w:hint="eastAsia"/>
          <w:color w:val="000000"/>
          <w:kern w:val="0"/>
          <w:sz w:val="28"/>
          <w:szCs w:val="28"/>
        </w:rPr>
        <w:t>2</w:t>
      </w:r>
      <w:r>
        <w:rPr>
          <w:color w:val="000000"/>
          <w:kern w:val="0"/>
          <w:sz w:val="28"/>
          <w:szCs w:val="28"/>
        </w:rPr>
        <w:t>025</w:t>
      </w:r>
      <w:r>
        <w:rPr>
          <w:color w:val="000000"/>
          <w:kern w:val="0"/>
          <w:sz w:val="28"/>
          <w:szCs w:val="28"/>
        </w:rPr>
        <w:t>年第三季度报告》</w:t>
      </w:r>
      <w:r>
        <w:rPr>
          <w:rFonts w:hint="eastAsia"/>
          <w:color w:val="000000"/>
          <w:sz w:val="28"/>
          <w:szCs w:val="28"/>
        </w:rPr>
        <w:t>。根据《企业会计准则第</w:t>
      </w:r>
      <w:r>
        <w:rPr>
          <w:rFonts w:hint="eastAsia"/>
          <w:color w:val="000000"/>
          <w:sz w:val="28"/>
          <w:szCs w:val="28"/>
        </w:rPr>
        <w:t>14</w:t>
      </w:r>
      <w:r>
        <w:rPr>
          <w:rFonts w:hint="eastAsia"/>
          <w:color w:val="000000"/>
          <w:sz w:val="28"/>
          <w:szCs w:val="28"/>
        </w:rPr>
        <w:t>号</w:t>
      </w:r>
      <w:r w:rsidR="000856C0">
        <w:rPr>
          <w:rFonts w:hint="eastAsia"/>
          <w:color w:val="000000"/>
          <w:sz w:val="28"/>
          <w:szCs w:val="28"/>
        </w:rPr>
        <w:t>-</w:t>
      </w:r>
      <w:r w:rsidR="000856C0">
        <w:rPr>
          <w:color w:val="000000"/>
          <w:sz w:val="28"/>
          <w:szCs w:val="28"/>
        </w:rPr>
        <w:t>-</w:t>
      </w:r>
      <w:r>
        <w:rPr>
          <w:rFonts w:hint="eastAsia"/>
          <w:color w:val="000000"/>
          <w:sz w:val="28"/>
          <w:szCs w:val="28"/>
        </w:rPr>
        <w:t>收入》第三十四条：“企业应当根据其在向客户转让商品前是否拥有对该商品的控制权，来判断其从事交易时的身份是主要责任人还是代理人。企业在向客户转让商品前能够控制该商品的，该企业为主要责任人，应当按照已收或应收对价总额确认收入；否则，该企业为代理人，应当按照预期有权收取的佣金或手续费的金额确认收入，该金额应当按照已收或应收对价总额扣除应支付给其他相关方的价款后的净额，或者按照既定的佣金金额或比例等确定。”</w:t>
      </w:r>
      <w:r w:rsidR="000856C0" w:rsidRPr="00E8563E">
        <w:rPr>
          <w:rFonts w:hint="eastAsia"/>
          <w:color w:val="000000"/>
          <w:kern w:val="0"/>
          <w:sz w:val="28"/>
          <w:szCs w:val="28"/>
        </w:rPr>
        <w:t>经公司组织相关人员重新深入学习会计准则及梳理业务流程，</w:t>
      </w:r>
      <w:r w:rsidR="000856C0" w:rsidRPr="00074FDB">
        <w:rPr>
          <w:rFonts w:hint="eastAsia"/>
          <w:color w:val="000000"/>
          <w:kern w:val="0"/>
          <w:sz w:val="28"/>
          <w:szCs w:val="28"/>
        </w:rPr>
        <w:t>并参考审计机构相关意见，</w:t>
      </w:r>
      <w:r w:rsidR="000856C0" w:rsidRPr="00E8563E">
        <w:rPr>
          <w:rFonts w:hint="eastAsia"/>
          <w:color w:val="000000"/>
          <w:kern w:val="0"/>
          <w:sz w:val="28"/>
          <w:szCs w:val="28"/>
        </w:rPr>
        <w:t>为更严谨地执行《企业会计准则第</w:t>
      </w:r>
      <w:r w:rsidR="000856C0" w:rsidRPr="00E8563E">
        <w:rPr>
          <w:rFonts w:hint="eastAsia"/>
          <w:color w:val="000000"/>
          <w:kern w:val="0"/>
          <w:sz w:val="28"/>
          <w:szCs w:val="28"/>
        </w:rPr>
        <w:t>14</w:t>
      </w:r>
      <w:r w:rsidR="000856C0" w:rsidRPr="00E8563E">
        <w:rPr>
          <w:rFonts w:hint="eastAsia"/>
          <w:color w:val="000000"/>
          <w:kern w:val="0"/>
          <w:sz w:val="28"/>
          <w:szCs w:val="28"/>
        </w:rPr>
        <w:t>号</w:t>
      </w:r>
      <w:r w:rsidR="000856C0">
        <w:rPr>
          <w:color w:val="000000"/>
          <w:kern w:val="0"/>
          <w:sz w:val="28"/>
          <w:szCs w:val="28"/>
        </w:rPr>
        <w:t>--</w:t>
      </w:r>
      <w:r w:rsidR="000856C0" w:rsidRPr="00E8563E">
        <w:rPr>
          <w:rFonts w:hint="eastAsia"/>
          <w:color w:val="000000"/>
          <w:kern w:val="0"/>
          <w:sz w:val="28"/>
          <w:szCs w:val="28"/>
        </w:rPr>
        <w:t>收入》的有关规定，公司对部分</w:t>
      </w:r>
      <w:r w:rsidR="000856C0">
        <w:rPr>
          <w:rFonts w:hint="eastAsia"/>
          <w:color w:val="000000"/>
          <w:kern w:val="0"/>
          <w:sz w:val="28"/>
          <w:szCs w:val="28"/>
        </w:rPr>
        <w:t>云基础设施</w:t>
      </w:r>
      <w:r w:rsidR="000856C0" w:rsidRPr="00E8563E">
        <w:rPr>
          <w:rFonts w:hint="eastAsia"/>
          <w:color w:val="000000"/>
          <w:kern w:val="0"/>
          <w:sz w:val="28"/>
          <w:szCs w:val="28"/>
        </w:rPr>
        <w:t>业务的交易</w:t>
      </w:r>
      <w:r w:rsidR="000856C0" w:rsidRPr="001F25DF">
        <w:rPr>
          <w:rFonts w:hint="eastAsia"/>
          <w:color w:val="000000"/>
          <w:kern w:val="0"/>
          <w:sz w:val="28"/>
          <w:szCs w:val="28"/>
        </w:rPr>
        <w:t>实质进行了更加严格的判断，基于审慎性原则，将部分云基础设施业务</w:t>
      </w:r>
      <w:r w:rsidR="000856C0" w:rsidRPr="001F25DF">
        <w:rPr>
          <w:rFonts w:hint="eastAsia"/>
          <w:color w:val="000000"/>
          <w:sz w:val="28"/>
          <w:szCs w:val="28"/>
        </w:rPr>
        <w:t>在第一季度报告、半年度报告、第三季度报告的收入</w:t>
      </w:r>
      <w:r w:rsidR="000856C0" w:rsidRPr="001F25DF">
        <w:rPr>
          <w:rFonts w:hint="eastAsia"/>
          <w:color w:val="000000"/>
          <w:kern w:val="0"/>
          <w:sz w:val="28"/>
          <w:szCs w:val="28"/>
        </w:rPr>
        <w:t>确认方法由总额法调整为净额法</w:t>
      </w:r>
      <w:r w:rsidR="00C87711" w:rsidRPr="001F25DF">
        <w:rPr>
          <w:rFonts w:hint="eastAsia"/>
          <w:color w:val="000000"/>
          <w:sz w:val="28"/>
          <w:szCs w:val="28"/>
        </w:rPr>
        <w:t>，</w:t>
      </w:r>
      <w:r w:rsidRPr="001F25DF">
        <w:rPr>
          <w:rFonts w:hint="eastAsia"/>
          <w:color w:val="000000"/>
          <w:sz w:val="28"/>
          <w:szCs w:val="28"/>
        </w:rPr>
        <w:t>致使公司披露的定期报告中收入和成本</w:t>
      </w:r>
      <w:r w:rsidR="00C87711" w:rsidRPr="001F25DF">
        <w:rPr>
          <w:rFonts w:hint="eastAsia"/>
          <w:color w:val="000000"/>
          <w:sz w:val="28"/>
          <w:szCs w:val="28"/>
        </w:rPr>
        <w:t>出现</w:t>
      </w:r>
      <w:r w:rsidRPr="001F25DF">
        <w:rPr>
          <w:rFonts w:hint="eastAsia"/>
          <w:color w:val="000000"/>
          <w:sz w:val="28"/>
          <w:szCs w:val="28"/>
        </w:rPr>
        <w:t>不准确的</w:t>
      </w:r>
      <w:r>
        <w:rPr>
          <w:rFonts w:hint="eastAsia"/>
          <w:color w:val="000000"/>
          <w:sz w:val="28"/>
          <w:szCs w:val="28"/>
        </w:rPr>
        <w:t>情形，构成会计差错事项</w:t>
      </w:r>
      <w:r w:rsidR="00B2713E">
        <w:rPr>
          <w:rFonts w:hint="eastAsia"/>
          <w:color w:val="000000"/>
          <w:sz w:val="28"/>
          <w:szCs w:val="28"/>
        </w:rPr>
        <w:t>，</w:t>
      </w:r>
      <w:r w:rsidR="00C87711">
        <w:rPr>
          <w:rFonts w:hint="eastAsia"/>
          <w:color w:val="000000"/>
          <w:sz w:val="28"/>
          <w:szCs w:val="28"/>
        </w:rPr>
        <w:t>需要</w:t>
      </w:r>
      <w:r>
        <w:rPr>
          <w:rFonts w:hint="eastAsia"/>
          <w:color w:val="000000"/>
          <w:sz w:val="28"/>
          <w:szCs w:val="28"/>
        </w:rPr>
        <w:t>进行更正。</w:t>
      </w:r>
    </w:p>
    <w:p w14:paraId="1D131470" w14:textId="5E473BCB" w:rsidR="009A7554" w:rsidRDefault="006C065B">
      <w:pPr>
        <w:adjustRightInd w:val="0"/>
        <w:snapToGrid w:val="0"/>
        <w:spacing w:line="360" w:lineRule="auto"/>
        <w:ind w:firstLineChars="200" w:firstLine="560"/>
        <w:rPr>
          <w:rFonts w:ascii="宋体" w:hAnsi="宋体"/>
          <w:color w:val="000000"/>
          <w:sz w:val="28"/>
          <w:szCs w:val="28"/>
        </w:rPr>
      </w:pPr>
      <w:r>
        <w:rPr>
          <w:rFonts w:ascii="宋体" w:hAnsi="宋体" w:hint="eastAsia"/>
          <w:color w:val="000000"/>
          <w:sz w:val="28"/>
          <w:szCs w:val="28"/>
        </w:rPr>
        <w:t>具体内容详见公司同日披露于上海证券交易所网站（www.sse.com.cn）的《有方科技：关于前期会计差错更正后的财务报表及</w:t>
      </w:r>
      <w:r w:rsidR="00F6786A">
        <w:rPr>
          <w:rFonts w:ascii="宋体" w:hAnsi="宋体" w:hint="eastAsia"/>
          <w:color w:val="000000"/>
          <w:sz w:val="28"/>
          <w:szCs w:val="28"/>
        </w:rPr>
        <w:t>相关</w:t>
      </w:r>
      <w:r>
        <w:rPr>
          <w:rFonts w:ascii="宋体" w:hAnsi="宋体" w:hint="eastAsia"/>
          <w:color w:val="000000"/>
          <w:sz w:val="28"/>
          <w:szCs w:val="28"/>
        </w:rPr>
        <w:t>附注》。</w:t>
      </w:r>
    </w:p>
    <w:p w14:paraId="061EF2CA" w14:textId="77777777" w:rsidR="009A7554" w:rsidRDefault="006C065B">
      <w:pPr>
        <w:adjustRightInd w:val="0"/>
        <w:snapToGrid w:val="0"/>
        <w:spacing w:line="360" w:lineRule="auto"/>
        <w:ind w:firstLineChars="200" w:firstLine="562"/>
        <w:rPr>
          <w:rFonts w:ascii="宋体" w:hAnsi="宋体"/>
          <w:b/>
          <w:bCs/>
          <w:color w:val="000000"/>
          <w:sz w:val="28"/>
          <w:szCs w:val="28"/>
        </w:rPr>
      </w:pPr>
      <w:r>
        <w:rPr>
          <w:rFonts w:ascii="宋体" w:hAnsi="宋体" w:hint="eastAsia"/>
          <w:b/>
          <w:bCs/>
          <w:color w:val="000000"/>
          <w:sz w:val="28"/>
          <w:szCs w:val="28"/>
        </w:rPr>
        <w:t>（二）审议程序</w:t>
      </w:r>
    </w:p>
    <w:p w14:paraId="3B994DB8" w14:textId="77777777" w:rsidR="009A7554" w:rsidRDefault="006C065B" w:rsidP="001F25DF">
      <w:pPr>
        <w:adjustRightInd w:val="0"/>
        <w:snapToGrid w:val="0"/>
        <w:spacing w:beforeLines="50" w:before="156" w:line="360" w:lineRule="auto"/>
        <w:ind w:firstLineChars="200" w:firstLine="560"/>
        <w:rPr>
          <w:rFonts w:ascii="宋体" w:hAnsi="宋体"/>
          <w:color w:val="000000"/>
          <w:sz w:val="28"/>
          <w:szCs w:val="28"/>
        </w:rPr>
      </w:pPr>
      <w:r>
        <w:rPr>
          <w:rFonts w:ascii="宋体" w:hAnsi="宋体" w:hint="eastAsia"/>
          <w:color w:val="000000"/>
          <w:sz w:val="28"/>
          <w:szCs w:val="28"/>
        </w:rPr>
        <w:t>202</w:t>
      </w:r>
      <w:r>
        <w:rPr>
          <w:rFonts w:ascii="宋体" w:hAnsi="宋体"/>
          <w:color w:val="000000"/>
          <w:sz w:val="28"/>
          <w:szCs w:val="28"/>
        </w:rPr>
        <w:t>6</w:t>
      </w:r>
      <w:r>
        <w:rPr>
          <w:rFonts w:ascii="宋体" w:hAnsi="宋体" w:hint="eastAsia"/>
          <w:color w:val="000000"/>
          <w:sz w:val="28"/>
          <w:szCs w:val="28"/>
        </w:rPr>
        <w:t>年</w:t>
      </w:r>
      <w:r>
        <w:rPr>
          <w:rFonts w:ascii="宋体" w:hAnsi="宋体"/>
          <w:color w:val="000000"/>
          <w:sz w:val="28"/>
          <w:szCs w:val="28"/>
        </w:rPr>
        <w:t>4</w:t>
      </w:r>
      <w:r>
        <w:rPr>
          <w:rFonts w:ascii="宋体" w:hAnsi="宋体" w:hint="eastAsia"/>
          <w:color w:val="000000"/>
          <w:sz w:val="28"/>
          <w:szCs w:val="28"/>
        </w:rPr>
        <w:t>月</w:t>
      </w:r>
      <w:r>
        <w:rPr>
          <w:rFonts w:ascii="宋体" w:hAnsi="宋体"/>
          <w:color w:val="000000"/>
          <w:sz w:val="28"/>
          <w:szCs w:val="28"/>
        </w:rPr>
        <w:t>15</w:t>
      </w:r>
      <w:r>
        <w:rPr>
          <w:rFonts w:ascii="宋体" w:hAnsi="宋体" w:hint="eastAsia"/>
          <w:color w:val="000000"/>
          <w:sz w:val="28"/>
          <w:szCs w:val="28"/>
        </w:rPr>
        <w:t>日，公司召开第四届董事会审计委员会第六次会议，2</w:t>
      </w:r>
      <w:r>
        <w:rPr>
          <w:rFonts w:ascii="宋体" w:hAnsi="宋体"/>
          <w:color w:val="000000"/>
          <w:sz w:val="28"/>
          <w:szCs w:val="28"/>
        </w:rPr>
        <w:t>026年</w:t>
      </w:r>
      <w:r>
        <w:rPr>
          <w:rFonts w:ascii="宋体" w:hAnsi="宋体" w:hint="eastAsia"/>
          <w:color w:val="000000"/>
          <w:sz w:val="28"/>
          <w:szCs w:val="28"/>
        </w:rPr>
        <w:t>4月2</w:t>
      </w:r>
      <w:r>
        <w:rPr>
          <w:rFonts w:ascii="宋体" w:hAnsi="宋体"/>
          <w:color w:val="000000"/>
          <w:sz w:val="28"/>
          <w:szCs w:val="28"/>
        </w:rPr>
        <w:t>9日公司召开</w:t>
      </w:r>
      <w:r>
        <w:rPr>
          <w:rFonts w:ascii="宋体" w:hAnsi="宋体" w:hint="eastAsia"/>
          <w:color w:val="000000"/>
          <w:sz w:val="28"/>
          <w:szCs w:val="28"/>
        </w:rPr>
        <w:t>第四届董事会第十三次会议全票同意审议通过了《关于前期会计差错更正的议案》，同意公司对前期会计</w:t>
      </w:r>
      <w:r>
        <w:rPr>
          <w:rFonts w:ascii="宋体" w:hAnsi="宋体" w:hint="eastAsia"/>
          <w:color w:val="000000"/>
          <w:sz w:val="28"/>
          <w:szCs w:val="28"/>
        </w:rPr>
        <w:lastRenderedPageBreak/>
        <w:t>差错进行更正。本次会计差错更正及财务报表及附注的更正事项在董事会有权审批的范围内，无需提交股东会审议。</w:t>
      </w:r>
    </w:p>
    <w:p w14:paraId="5E0A4A30" w14:textId="77777777" w:rsidR="009A7554" w:rsidRDefault="006C065B" w:rsidP="001F25DF">
      <w:pPr>
        <w:adjustRightInd w:val="0"/>
        <w:snapToGrid w:val="0"/>
        <w:spacing w:beforeLines="50" w:before="156" w:line="360" w:lineRule="auto"/>
        <w:rPr>
          <w:rFonts w:ascii="宋体" w:hAnsi="宋体"/>
          <w:b/>
          <w:color w:val="000000"/>
          <w:sz w:val="28"/>
          <w:szCs w:val="28"/>
        </w:rPr>
      </w:pPr>
      <w:r>
        <w:rPr>
          <w:rFonts w:ascii="宋体" w:hAnsi="宋体" w:hint="eastAsia"/>
          <w:b/>
          <w:color w:val="000000"/>
          <w:sz w:val="28"/>
          <w:szCs w:val="28"/>
        </w:rPr>
        <w:t>二、本次会计差错更正对公司的影响</w:t>
      </w:r>
    </w:p>
    <w:p w14:paraId="3D1D15EB" w14:textId="60A5556B" w:rsidR="009A7554" w:rsidRDefault="006C065B" w:rsidP="001F25DF">
      <w:pPr>
        <w:adjustRightInd w:val="0"/>
        <w:snapToGrid w:val="0"/>
        <w:spacing w:beforeLines="50" w:before="156" w:line="360" w:lineRule="auto"/>
        <w:ind w:firstLineChars="200" w:firstLine="560"/>
        <w:rPr>
          <w:rFonts w:ascii="宋体" w:hAnsi="宋体"/>
          <w:color w:val="000000"/>
          <w:sz w:val="28"/>
          <w:szCs w:val="28"/>
        </w:rPr>
      </w:pPr>
      <w:r>
        <w:rPr>
          <w:rFonts w:ascii="宋体" w:hAnsi="宋体" w:hint="eastAsia"/>
          <w:color w:val="000000"/>
          <w:sz w:val="28"/>
          <w:szCs w:val="28"/>
        </w:rPr>
        <w:t>本次会计差错更正系公司基于对法</w:t>
      </w:r>
      <w:r w:rsidRPr="001F25DF">
        <w:rPr>
          <w:rFonts w:ascii="宋体" w:hAnsi="宋体" w:hint="eastAsia"/>
          <w:color w:val="000000"/>
          <w:sz w:val="28"/>
          <w:szCs w:val="28"/>
        </w:rPr>
        <w:t>律法规理解的加深，更为审慎判断业务性质而对收入及成本确认的调整，更正内容涉及公司</w:t>
      </w:r>
      <w:r w:rsidRPr="001F25DF">
        <w:rPr>
          <w:rFonts w:ascii="宋体" w:hAnsi="宋体"/>
          <w:color w:val="000000"/>
          <w:sz w:val="28"/>
          <w:szCs w:val="28"/>
        </w:rPr>
        <w:t>2025年</w:t>
      </w:r>
      <w:r w:rsidRPr="001F25DF">
        <w:rPr>
          <w:rFonts w:hint="eastAsia"/>
          <w:color w:val="000000"/>
          <w:kern w:val="0"/>
          <w:sz w:val="28"/>
          <w:szCs w:val="28"/>
        </w:rPr>
        <w:t>第一季度报告、半年度报告、第三季度报告的</w:t>
      </w:r>
      <w:r w:rsidRPr="001F25DF">
        <w:rPr>
          <w:rFonts w:ascii="宋体" w:hAnsi="宋体" w:hint="eastAsia"/>
          <w:color w:val="000000"/>
          <w:sz w:val="28"/>
          <w:szCs w:val="28"/>
        </w:rPr>
        <w:t>营业收入及营业成本科目，不会对上市公司损益、总资产、净资产</w:t>
      </w:r>
      <w:r w:rsidR="00B2713E" w:rsidRPr="001F25DF">
        <w:rPr>
          <w:rFonts w:ascii="宋体" w:hAnsi="宋体" w:hint="eastAsia"/>
          <w:color w:val="000000"/>
          <w:sz w:val="28"/>
          <w:szCs w:val="28"/>
        </w:rPr>
        <w:t>科目</w:t>
      </w:r>
      <w:r w:rsidRPr="001F25DF">
        <w:rPr>
          <w:rFonts w:ascii="宋体" w:hAnsi="宋体" w:hint="eastAsia"/>
          <w:color w:val="000000"/>
          <w:sz w:val="28"/>
          <w:szCs w:val="28"/>
        </w:rPr>
        <w:t>等产生影响，不</w:t>
      </w:r>
      <w:r>
        <w:rPr>
          <w:rFonts w:ascii="宋体" w:hAnsi="宋体" w:hint="eastAsia"/>
          <w:color w:val="000000"/>
          <w:sz w:val="28"/>
          <w:szCs w:val="28"/>
        </w:rPr>
        <w:t>涉及对公司以前年度报告的追溯调整，不会对公司财务状况、经营成果和现金流量产生重大影响，亦不存在损害公司及股东利益的情况。影响财务报表项目及金额如下：</w:t>
      </w:r>
    </w:p>
    <w:p w14:paraId="7E2B7BFB" w14:textId="6CD60DD7" w:rsidR="009A7554" w:rsidRPr="00CE5010" w:rsidRDefault="006C065B" w:rsidP="001F25DF">
      <w:pPr>
        <w:adjustRightInd w:val="0"/>
        <w:snapToGrid w:val="0"/>
        <w:spacing w:beforeLines="50" w:before="156" w:line="360" w:lineRule="auto"/>
        <w:ind w:firstLineChars="200" w:firstLine="560"/>
        <w:rPr>
          <w:rFonts w:ascii="宋体" w:hAnsi="宋体"/>
          <w:color w:val="000000"/>
          <w:sz w:val="28"/>
          <w:szCs w:val="28"/>
        </w:rPr>
      </w:pPr>
      <w:r w:rsidRPr="00CE5010">
        <w:rPr>
          <w:rFonts w:ascii="宋体" w:hAnsi="宋体" w:hint="eastAsia"/>
          <w:color w:val="000000"/>
          <w:sz w:val="28"/>
          <w:szCs w:val="28"/>
        </w:rPr>
        <w:t>1.对2025年第一季度财务报表的影响</w:t>
      </w:r>
    </w:p>
    <w:p w14:paraId="1E27D3E9" w14:textId="2353A184" w:rsidR="009A7554" w:rsidRPr="00CE5010" w:rsidRDefault="006C065B" w:rsidP="006C065B">
      <w:pPr>
        <w:adjustRightInd w:val="0"/>
        <w:snapToGrid w:val="0"/>
        <w:spacing w:line="360" w:lineRule="auto"/>
        <w:jc w:val="right"/>
        <w:rPr>
          <w:rFonts w:ascii="宋体" w:hAnsi="宋体"/>
          <w:color w:val="000000"/>
          <w:szCs w:val="21"/>
        </w:rPr>
      </w:pPr>
      <w:r w:rsidRPr="00CE5010">
        <w:rPr>
          <w:rFonts w:ascii="宋体" w:hAnsi="宋体" w:hint="eastAsia"/>
          <w:color w:val="000000"/>
          <w:szCs w:val="21"/>
        </w:rPr>
        <w:t>单位：人民币元</w:t>
      </w:r>
    </w:p>
    <w:tbl>
      <w:tblPr>
        <w:tblStyle w:val="a7"/>
        <w:tblW w:w="0" w:type="auto"/>
        <w:tblLook w:val="04A0" w:firstRow="1" w:lastRow="0" w:firstColumn="1" w:lastColumn="0" w:noHBand="0" w:noVBand="1"/>
      </w:tblPr>
      <w:tblGrid>
        <w:gridCol w:w="2021"/>
        <w:gridCol w:w="2136"/>
        <w:gridCol w:w="2023"/>
        <w:gridCol w:w="2116"/>
      </w:tblGrid>
      <w:tr w:rsidR="009A7554" w:rsidRPr="00CE5010" w14:paraId="4ABEC814" w14:textId="77777777" w:rsidTr="001D1A8B">
        <w:tc>
          <w:tcPr>
            <w:tcW w:w="2021" w:type="dxa"/>
            <w:vAlign w:val="center"/>
          </w:tcPr>
          <w:p w14:paraId="59362D6A" w14:textId="77777777" w:rsidR="009A7554" w:rsidRPr="00CE5010" w:rsidRDefault="006C065B" w:rsidP="006C065B">
            <w:pPr>
              <w:adjustRightInd w:val="0"/>
              <w:snapToGrid w:val="0"/>
              <w:jc w:val="center"/>
              <w:rPr>
                <w:rFonts w:ascii="宋体" w:hAnsi="宋体"/>
                <w:color w:val="000000"/>
                <w:sz w:val="24"/>
              </w:rPr>
            </w:pPr>
            <w:r w:rsidRPr="00CE5010">
              <w:rPr>
                <w:rFonts w:ascii="宋体" w:hAnsi="宋体" w:hint="eastAsia"/>
                <w:color w:val="000000"/>
                <w:sz w:val="24"/>
              </w:rPr>
              <w:t>项目</w:t>
            </w:r>
          </w:p>
        </w:tc>
        <w:tc>
          <w:tcPr>
            <w:tcW w:w="2136" w:type="dxa"/>
            <w:vAlign w:val="center"/>
          </w:tcPr>
          <w:p w14:paraId="3AD507CD" w14:textId="77777777" w:rsidR="009A7554" w:rsidRPr="00CE5010" w:rsidRDefault="006C065B" w:rsidP="006C065B">
            <w:pPr>
              <w:adjustRightInd w:val="0"/>
              <w:snapToGrid w:val="0"/>
              <w:jc w:val="center"/>
              <w:rPr>
                <w:rFonts w:ascii="宋体" w:hAnsi="宋体"/>
                <w:color w:val="000000"/>
                <w:sz w:val="24"/>
              </w:rPr>
            </w:pPr>
            <w:r w:rsidRPr="00CE5010">
              <w:rPr>
                <w:rFonts w:ascii="宋体" w:hAnsi="宋体" w:hint="eastAsia"/>
                <w:color w:val="000000"/>
                <w:sz w:val="24"/>
              </w:rPr>
              <w:t>调整前金额</w:t>
            </w:r>
          </w:p>
        </w:tc>
        <w:tc>
          <w:tcPr>
            <w:tcW w:w="2023" w:type="dxa"/>
            <w:vAlign w:val="center"/>
          </w:tcPr>
          <w:p w14:paraId="53EB6682" w14:textId="77777777" w:rsidR="009A7554" w:rsidRPr="00CE5010" w:rsidRDefault="006C065B" w:rsidP="006C065B">
            <w:pPr>
              <w:adjustRightInd w:val="0"/>
              <w:snapToGrid w:val="0"/>
              <w:jc w:val="center"/>
              <w:rPr>
                <w:rFonts w:ascii="宋体" w:hAnsi="宋体"/>
                <w:color w:val="000000"/>
                <w:sz w:val="24"/>
              </w:rPr>
            </w:pPr>
            <w:r w:rsidRPr="00CE5010">
              <w:rPr>
                <w:rFonts w:ascii="宋体" w:hAnsi="宋体" w:hint="eastAsia"/>
                <w:color w:val="000000"/>
                <w:sz w:val="24"/>
              </w:rPr>
              <w:t>调整金额</w:t>
            </w:r>
          </w:p>
        </w:tc>
        <w:tc>
          <w:tcPr>
            <w:tcW w:w="2116" w:type="dxa"/>
            <w:vAlign w:val="center"/>
          </w:tcPr>
          <w:p w14:paraId="7B04927D" w14:textId="77777777" w:rsidR="009A7554" w:rsidRPr="00CE5010" w:rsidRDefault="006C065B" w:rsidP="006C065B">
            <w:pPr>
              <w:adjustRightInd w:val="0"/>
              <w:snapToGrid w:val="0"/>
              <w:jc w:val="center"/>
              <w:rPr>
                <w:rFonts w:ascii="宋体" w:hAnsi="宋体"/>
                <w:color w:val="000000"/>
                <w:sz w:val="24"/>
              </w:rPr>
            </w:pPr>
            <w:r w:rsidRPr="00CE5010">
              <w:rPr>
                <w:rFonts w:ascii="宋体" w:hAnsi="宋体" w:hint="eastAsia"/>
                <w:color w:val="000000"/>
                <w:sz w:val="24"/>
              </w:rPr>
              <w:t>调整后金额</w:t>
            </w:r>
          </w:p>
        </w:tc>
      </w:tr>
      <w:tr w:rsidR="00D5470E" w:rsidRPr="00CE5010" w14:paraId="60E8FFB9" w14:textId="77777777" w:rsidTr="00263D88">
        <w:tc>
          <w:tcPr>
            <w:tcW w:w="2021" w:type="dxa"/>
            <w:vAlign w:val="center"/>
          </w:tcPr>
          <w:p w14:paraId="13D2645D" w14:textId="77777777" w:rsidR="00D5470E" w:rsidRPr="00CE5010" w:rsidRDefault="00D5470E" w:rsidP="00D5470E">
            <w:pPr>
              <w:adjustRightInd w:val="0"/>
              <w:snapToGrid w:val="0"/>
              <w:jc w:val="center"/>
              <w:rPr>
                <w:rFonts w:ascii="宋体" w:hAnsi="宋体"/>
                <w:color w:val="000000"/>
                <w:sz w:val="24"/>
              </w:rPr>
            </w:pPr>
            <w:r w:rsidRPr="00CE5010">
              <w:rPr>
                <w:rFonts w:ascii="宋体" w:hAnsi="宋体" w:hint="eastAsia"/>
                <w:color w:val="000000"/>
                <w:sz w:val="24"/>
              </w:rPr>
              <w:t>营业收入</w:t>
            </w:r>
          </w:p>
        </w:tc>
        <w:tc>
          <w:tcPr>
            <w:tcW w:w="2136" w:type="dxa"/>
          </w:tcPr>
          <w:p w14:paraId="43AB5CF4" w14:textId="12C671D1"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1,057,757,239.81</w:t>
            </w:r>
          </w:p>
        </w:tc>
        <w:tc>
          <w:tcPr>
            <w:tcW w:w="2023" w:type="dxa"/>
          </w:tcPr>
          <w:p w14:paraId="5F6D973A" w14:textId="112DA9EE"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-129,294,612.04</w:t>
            </w:r>
          </w:p>
        </w:tc>
        <w:tc>
          <w:tcPr>
            <w:tcW w:w="2116" w:type="dxa"/>
          </w:tcPr>
          <w:p w14:paraId="79C2D05B" w14:textId="734EE16F"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928,462,627.77</w:t>
            </w:r>
          </w:p>
        </w:tc>
      </w:tr>
      <w:tr w:rsidR="00D5470E" w:rsidRPr="00CE5010" w14:paraId="0D1AB112" w14:textId="77777777" w:rsidTr="00263D88">
        <w:tc>
          <w:tcPr>
            <w:tcW w:w="2021" w:type="dxa"/>
            <w:vAlign w:val="center"/>
          </w:tcPr>
          <w:p w14:paraId="1B3D669C" w14:textId="77777777" w:rsidR="00D5470E" w:rsidRPr="00CE5010" w:rsidRDefault="00D5470E" w:rsidP="00D5470E">
            <w:pPr>
              <w:adjustRightInd w:val="0"/>
              <w:snapToGrid w:val="0"/>
              <w:jc w:val="center"/>
              <w:rPr>
                <w:rFonts w:ascii="宋体" w:hAnsi="宋体"/>
                <w:color w:val="000000"/>
                <w:sz w:val="24"/>
              </w:rPr>
            </w:pPr>
            <w:r w:rsidRPr="00CE5010">
              <w:rPr>
                <w:rFonts w:ascii="宋体" w:hAnsi="宋体" w:hint="eastAsia"/>
                <w:color w:val="000000"/>
                <w:sz w:val="24"/>
              </w:rPr>
              <w:t>营业成本</w:t>
            </w:r>
          </w:p>
        </w:tc>
        <w:tc>
          <w:tcPr>
            <w:tcW w:w="2136" w:type="dxa"/>
          </w:tcPr>
          <w:p w14:paraId="28241A08" w14:textId="7DDFFC84"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977,443,589.14</w:t>
            </w:r>
          </w:p>
        </w:tc>
        <w:tc>
          <w:tcPr>
            <w:tcW w:w="2023" w:type="dxa"/>
          </w:tcPr>
          <w:p w14:paraId="546743DC" w14:textId="07698D51"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-129,294,612.04</w:t>
            </w:r>
          </w:p>
        </w:tc>
        <w:tc>
          <w:tcPr>
            <w:tcW w:w="2116" w:type="dxa"/>
          </w:tcPr>
          <w:p w14:paraId="7A7FE5BF" w14:textId="156D7D08"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848,148,977.10</w:t>
            </w:r>
          </w:p>
        </w:tc>
      </w:tr>
    </w:tbl>
    <w:p w14:paraId="5C7FB0F0" w14:textId="77777777" w:rsidR="009A7554" w:rsidRPr="00CE5010" w:rsidRDefault="006C065B" w:rsidP="006C065B">
      <w:pPr>
        <w:adjustRightInd w:val="0"/>
        <w:snapToGrid w:val="0"/>
        <w:spacing w:beforeLines="50" w:before="156" w:line="360" w:lineRule="auto"/>
        <w:ind w:firstLineChars="200" w:firstLine="560"/>
        <w:rPr>
          <w:rFonts w:ascii="宋体" w:hAnsi="宋体"/>
          <w:color w:val="000000"/>
          <w:sz w:val="28"/>
          <w:szCs w:val="28"/>
        </w:rPr>
      </w:pPr>
      <w:r w:rsidRPr="00CE5010">
        <w:rPr>
          <w:rFonts w:ascii="宋体" w:hAnsi="宋体" w:hint="eastAsia"/>
          <w:color w:val="000000"/>
          <w:sz w:val="28"/>
          <w:szCs w:val="28"/>
        </w:rPr>
        <w:t>2.对2025年半年度财务报表的影响</w:t>
      </w:r>
    </w:p>
    <w:p w14:paraId="6EDAB0E8" w14:textId="5EE21BDC" w:rsidR="009A7554" w:rsidRPr="00CE5010" w:rsidRDefault="006C065B">
      <w:pPr>
        <w:adjustRightInd w:val="0"/>
        <w:snapToGrid w:val="0"/>
        <w:spacing w:line="360" w:lineRule="auto"/>
        <w:jc w:val="right"/>
        <w:rPr>
          <w:rFonts w:ascii="宋体" w:hAnsi="宋体"/>
          <w:color w:val="000000"/>
          <w:szCs w:val="21"/>
        </w:rPr>
      </w:pPr>
      <w:r w:rsidRPr="00CE5010">
        <w:rPr>
          <w:rFonts w:ascii="宋体" w:hAnsi="宋体" w:hint="eastAsia"/>
          <w:color w:val="000000"/>
          <w:szCs w:val="21"/>
        </w:rPr>
        <w:t>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2374"/>
        <w:gridCol w:w="2240"/>
        <w:gridCol w:w="2374"/>
      </w:tblGrid>
      <w:tr w:rsidR="009A7554" w:rsidRPr="00CE5010" w14:paraId="0DD7CCE5" w14:textId="77777777" w:rsidTr="00D5470E">
        <w:tc>
          <w:tcPr>
            <w:tcW w:w="788" w:type="pct"/>
            <w:vAlign w:val="center"/>
          </w:tcPr>
          <w:p w14:paraId="4BA87B25" w14:textId="77777777" w:rsidR="009A7554" w:rsidRPr="00CE5010" w:rsidRDefault="006C065B">
            <w:pPr>
              <w:adjustRightInd w:val="0"/>
              <w:snapToGrid w:val="0"/>
              <w:jc w:val="center"/>
              <w:rPr>
                <w:rFonts w:ascii="宋体" w:hAnsi="宋体"/>
                <w:color w:val="000000"/>
                <w:sz w:val="24"/>
              </w:rPr>
            </w:pPr>
            <w:r w:rsidRPr="00CE5010">
              <w:rPr>
                <w:rFonts w:ascii="宋体" w:hAnsi="宋体" w:hint="eastAsia"/>
                <w:color w:val="000000"/>
                <w:sz w:val="24"/>
              </w:rPr>
              <w:t>项目</w:t>
            </w:r>
          </w:p>
        </w:tc>
        <w:tc>
          <w:tcPr>
            <w:tcW w:w="1431" w:type="pct"/>
            <w:vAlign w:val="center"/>
          </w:tcPr>
          <w:p w14:paraId="3E58DB32" w14:textId="77777777" w:rsidR="009A7554" w:rsidRPr="00CE5010" w:rsidRDefault="006C065B">
            <w:pPr>
              <w:adjustRightInd w:val="0"/>
              <w:snapToGrid w:val="0"/>
              <w:jc w:val="center"/>
              <w:rPr>
                <w:rFonts w:ascii="宋体" w:hAnsi="宋体"/>
                <w:color w:val="000000"/>
                <w:sz w:val="24"/>
              </w:rPr>
            </w:pPr>
            <w:r w:rsidRPr="00CE5010">
              <w:rPr>
                <w:rFonts w:ascii="宋体" w:hAnsi="宋体" w:hint="eastAsia"/>
                <w:color w:val="000000"/>
                <w:sz w:val="24"/>
              </w:rPr>
              <w:t>调整前金额</w:t>
            </w:r>
          </w:p>
        </w:tc>
        <w:tc>
          <w:tcPr>
            <w:tcW w:w="1350" w:type="pct"/>
            <w:vAlign w:val="center"/>
          </w:tcPr>
          <w:p w14:paraId="202C37FC" w14:textId="77777777" w:rsidR="009A7554" w:rsidRPr="00CE5010" w:rsidRDefault="006C065B">
            <w:pPr>
              <w:adjustRightInd w:val="0"/>
              <w:snapToGrid w:val="0"/>
              <w:jc w:val="center"/>
              <w:rPr>
                <w:rFonts w:ascii="宋体" w:hAnsi="宋体"/>
                <w:color w:val="000000"/>
                <w:sz w:val="24"/>
              </w:rPr>
            </w:pPr>
            <w:r w:rsidRPr="00CE5010">
              <w:rPr>
                <w:rFonts w:ascii="宋体" w:hAnsi="宋体" w:hint="eastAsia"/>
                <w:color w:val="000000"/>
                <w:sz w:val="24"/>
              </w:rPr>
              <w:t>调整金额</w:t>
            </w:r>
          </w:p>
        </w:tc>
        <w:tc>
          <w:tcPr>
            <w:tcW w:w="1431" w:type="pct"/>
            <w:vAlign w:val="center"/>
          </w:tcPr>
          <w:p w14:paraId="1CE5CC25" w14:textId="77777777" w:rsidR="009A7554" w:rsidRPr="00CE5010" w:rsidRDefault="006C065B">
            <w:pPr>
              <w:adjustRightInd w:val="0"/>
              <w:snapToGrid w:val="0"/>
              <w:jc w:val="center"/>
              <w:rPr>
                <w:rFonts w:ascii="宋体" w:hAnsi="宋体"/>
                <w:color w:val="000000"/>
                <w:sz w:val="24"/>
              </w:rPr>
            </w:pPr>
            <w:r w:rsidRPr="00CE5010">
              <w:rPr>
                <w:rFonts w:ascii="宋体" w:hAnsi="宋体" w:hint="eastAsia"/>
                <w:color w:val="000000"/>
                <w:sz w:val="24"/>
              </w:rPr>
              <w:t>调整后金额</w:t>
            </w:r>
          </w:p>
        </w:tc>
      </w:tr>
      <w:tr w:rsidR="00D5470E" w:rsidRPr="006F3DC9" w14:paraId="6A9B1278" w14:textId="77777777" w:rsidTr="00D5470E">
        <w:tc>
          <w:tcPr>
            <w:tcW w:w="788" w:type="pct"/>
            <w:vAlign w:val="center"/>
          </w:tcPr>
          <w:p w14:paraId="61992F2B" w14:textId="77777777" w:rsidR="00D5470E" w:rsidRPr="00CE5010" w:rsidRDefault="00D5470E" w:rsidP="00D5470E">
            <w:pPr>
              <w:adjustRightInd w:val="0"/>
              <w:snapToGrid w:val="0"/>
              <w:jc w:val="center"/>
              <w:rPr>
                <w:rFonts w:ascii="宋体" w:hAnsi="宋体"/>
                <w:color w:val="000000"/>
                <w:sz w:val="24"/>
              </w:rPr>
            </w:pPr>
            <w:r w:rsidRPr="00CE5010">
              <w:rPr>
                <w:rFonts w:ascii="宋体" w:hAnsi="宋体" w:hint="eastAsia"/>
                <w:color w:val="000000"/>
                <w:sz w:val="24"/>
              </w:rPr>
              <w:t>营业收入</w:t>
            </w:r>
          </w:p>
        </w:tc>
        <w:tc>
          <w:tcPr>
            <w:tcW w:w="1431" w:type="pct"/>
          </w:tcPr>
          <w:p w14:paraId="05FDA744" w14:textId="3960CF73"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2,452,259,861.90</w:t>
            </w:r>
          </w:p>
        </w:tc>
        <w:tc>
          <w:tcPr>
            <w:tcW w:w="1350" w:type="pct"/>
          </w:tcPr>
          <w:p w14:paraId="5A1C6591" w14:textId="6430999E"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-779,142,418.82</w:t>
            </w:r>
          </w:p>
        </w:tc>
        <w:tc>
          <w:tcPr>
            <w:tcW w:w="1431" w:type="pct"/>
          </w:tcPr>
          <w:p w14:paraId="59C3CA61" w14:textId="1A33ABC7"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1,673,117,443.08</w:t>
            </w:r>
          </w:p>
        </w:tc>
      </w:tr>
      <w:tr w:rsidR="00D5470E" w:rsidRPr="00CE5010" w14:paraId="627D25DB" w14:textId="77777777" w:rsidTr="00D5470E">
        <w:tc>
          <w:tcPr>
            <w:tcW w:w="788" w:type="pct"/>
            <w:vAlign w:val="center"/>
          </w:tcPr>
          <w:p w14:paraId="3B3DFA48" w14:textId="77777777" w:rsidR="00D5470E" w:rsidRPr="00CE5010" w:rsidRDefault="00D5470E" w:rsidP="00D5470E">
            <w:pPr>
              <w:adjustRightInd w:val="0"/>
              <w:snapToGrid w:val="0"/>
              <w:jc w:val="center"/>
              <w:rPr>
                <w:rFonts w:ascii="宋体" w:hAnsi="宋体"/>
                <w:color w:val="000000"/>
                <w:sz w:val="24"/>
              </w:rPr>
            </w:pPr>
            <w:r w:rsidRPr="00CE5010">
              <w:rPr>
                <w:rFonts w:ascii="宋体" w:hAnsi="宋体" w:hint="eastAsia"/>
                <w:color w:val="000000"/>
                <w:sz w:val="24"/>
              </w:rPr>
              <w:t>营业成本</w:t>
            </w:r>
          </w:p>
        </w:tc>
        <w:tc>
          <w:tcPr>
            <w:tcW w:w="1431" w:type="pct"/>
          </w:tcPr>
          <w:p w14:paraId="17462546" w14:textId="16A9658D"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2,264,248,903.89</w:t>
            </w:r>
          </w:p>
        </w:tc>
        <w:tc>
          <w:tcPr>
            <w:tcW w:w="1350" w:type="pct"/>
          </w:tcPr>
          <w:p w14:paraId="667DF9AC" w14:textId="32FC245F"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-779,142,418.82</w:t>
            </w:r>
          </w:p>
        </w:tc>
        <w:tc>
          <w:tcPr>
            <w:tcW w:w="1431" w:type="pct"/>
          </w:tcPr>
          <w:p w14:paraId="5895F82A" w14:textId="016BAB45"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1,485,106,485.07</w:t>
            </w:r>
          </w:p>
        </w:tc>
      </w:tr>
    </w:tbl>
    <w:p w14:paraId="1E0AE482" w14:textId="77777777" w:rsidR="009A7554" w:rsidRPr="00CE5010" w:rsidRDefault="006C065B">
      <w:pPr>
        <w:adjustRightInd w:val="0"/>
        <w:snapToGrid w:val="0"/>
        <w:spacing w:beforeLines="50" w:before="156" w:line="360" w:lineRule="auto"/>
        <w:ind w:firstLineChars="200" w:firstLine="560"/>
        <w:rPr>
          <w:rFonts w:ascii="宋体" w:hAnsi="宋体"/>
          <w:color w:val="000000"/>
          <w:sz w:val="28"/>
          <w:szCs w:val="28"/>
        </w:rPr>
      </w:pPr>
      <w:r w:rsidRPr="00CE5010">
        <w:rPr>
          <w:rFonts w:ascii="宋体" w:hAnsi="宋体" w:hint="eastAsia"/>
          <w:color w:val="000000"/>
          <w:sz w:val="28"/>
          <w:szCs w:val="28"/>
        </w:rPr>
        <w:t>3.对2025年第三季度财务报表的影响</w:t>
      </w:r>
    </w:p>
    <w:p w14:paraId="03686B08" w14:textId="02FA7EE0" w:rsidR="009A7554" w:rsidRPr="00CE5010" w:rsidRDefault="006C065B">
      <w:pPr>
        <w:adjustRightInd w:val="0"/>
        <w:snapToGrid w:val="0"/>
        <w:spacing w:line="360" w:lineRule="auto"/>
        <w:jc w:val="right"/>
        <w:rPr>
          <w:rFonts w:ascii="宋体" w:hAnsi="宋体"/>
          <w:color w:val="000000"/>
          <w:szCs w:val="21"/>
        </w:rPr>
      </w:pPr>
      <w:r w:rsidRPr="00CE5010">
        <w:rPr>
          <w:rFonts w:ascii="宋体" w:hAnsi="宋体" w:hint="eastAsia"/>
          <w:color w:val="000000"/>
          <w:szCs w:val="21"/>
        </w:rPr>
        <w:t>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2374"/>
        <w:gridCol w:w="2240"/>
        <w:gridCol w:w="2374"/>
      </w:tblGrid>
      <w:tr w:rsidR="009A7554" w:rsidRPr="00CE5010" w14:paraId="0FEDDE1D" w14:textId="77777777" w:rsidTr="00D5470E">
        <w:tc>
          <w:tcPr>
            <w:tcW w:w="788" w:type="pct"/>
            <w:vAlign w:val="center"/>
          </w:tcPr>
          <w:p w14:paraId="4EF4396A" w14:textId="77777777" w:rsidR="009A7554" w:rsidRPr="00CE5010" w:rsidRDefault="006C065B">
            <w:pPr>
              <w:adjustRightInd w:val="0"/>
              <w:snapToGrid w:val="0"/>
              <w:jc w:val="center"/>
              <w:rPr>
                <w:rFonts w:ascii="宋体" w:hAnsi="宋体"/>
                <w:color w:val="000000"/>
                <w:sz w:val="24"/>
              </w:rPr>
            </w:pPr>
            <w:r w:rsidRPr="00CE5010">
              <w:rPr>
                <w:rFonts w:ascii="宋体" w:hAnsi="宋体" w:hint="eastAsia"/>
                <w:color w:val="000000"/>
                <w:sz w:val="24"/>
              </w:rPr>
              <w:t>项目</w:t>
            </w:r>
          </w:p>
        </w:tc>
        <w:tc>
          <w:tcPr>
            <w:tcW w:w="1431" w:type="pct"/>
            <w:vAlign w:val="center"/>
          </w:tcPr>
          <w:p w14:paraId="41FFDC78" w14:textId="77777777" w:rsidR="009A7554" w:rsidRPr="00CE5010" w:rsidRDefault="006C065B">
            <w:pPr>
              <w:adjustRightInd w:val="0"/>
              <w:snapToGrid w:val="0"/>
              <w:jc w:val="center"/>
              <w:rPr>
                <w:rFonts w:ascii="宋体" w:hAnsi="宋体"/>
                <w:color w:val="000000"/>
                <w:sz w:val="24"/>
              </w:rPr>
            </w:pPr>
            <w:r w:rsidRPr="00CE5010">
              <w:rPr>
                <w:rFonts w:ascii="宋体" w:hAnsi="宋体" w:hint="eastAsia"/>
                <w:color w:val="000000"/>
                <w:sz w:val="24"/>
              </w:rPr>
              <w:t>调整前金额</w:t>
            </w:r>
          </w:p>
        </w:tc>
        <w:tc>
          <w:tcPr>
            <w:tcW w:w="1350" w:type="pct"/>
            <w:vAlign w:val="center"/>
          </w:tcPr>
          <w:p w14:paraId="20BA4278" w14:textId="77777777" w:rsidR="009A7554" w:rsidRPr="00CE5010" w:rsidRDefault="006C065B">
            <w:pPr>
              <w:adjustRightInd w:val="0"/>
              <w:snapToGrid w:val="0"/>
              <w:jc w:val="center"/>
              <w:rPr>
                <w:rFonts w:ascii="宋体" w:hAnsi="宋体"/>
                <w:color w:val="000000"/>
                <w:sz w:val="24"/>
              </w:rPr>
            </w:pPr>
            <w:r w:rsidRPr="00CE5010">
              <w:rPr>
                <w:rFonts w:ascii="宋体" w:hAnsi="宋体" w:hint="eastAsia"/>
                <w:color w:val="000000"/>
                <w:sz w:val="24"/>
              </w:rPr>
              <w:t>调整金额</w:t>
            </w:r>
          </w:p>
        </w:tc>
        <w:tc>
          <w:tcPr>
            <w:tcW w:w="1431" w:type="pct"/>
            <w:vAlign w:val="center"/>
          </w:tcPr>
          <w:p w14:paraId="00DCA2C7" w14:textId="77777777" w:rsidR="009A7554" w:rsidRPr="00CE5010" w:rsidRDefault="006C065B">
            <w:pPr>
              <w:adjustRightInd w:val="0"/>
              <w:snapToGrid w:val="0"/>
              <w:jc w:val="center"/>
              <w:rPr>
                <w:rFonts w:ascii="宋体" w:hAnsi="宋体"/>
                <w:color w:val="000000"/>
                <w:sz w:val="24"/>
              </w:rPr>
            </w:pPr>
            <w:r w:rsidRPr="00CE5010">
              <w:rPr>
                <w:rFonts w:ascii="宋体" w:hAnsi="宋体" w:hint="eastAsia"/>
                <w:color w:val="000000"/>
                <w:sz w:val="24"/>
              </w:rPr>
              <w:t>调整后金额</w:t>
            </w:r>
          </w:p>
        </w:tc>
      </w:tr>
      <w:tr w:rsidR="00D5470E" w:rsidRPr="00CE5010" w14:paraId="563718F5" w14:textId="77777777" w:rsidTr="00D5470E">
        <w:tc>
          <w:tcPr>
            <w:tcW w:w="788" w:type="pct"/>
            <w:vAlign w:val="center"/>
          </w:tcPr>
          <w:p w14:paraId="02B02467" w14:textId="77777777" w:rsidR="00D5470E" w:rsidRPr="00CE5010" w:rsidRDefault="00D5470E" w:rsidP="00D5470E">
            <w:pPr>
              <w:adjustRightInd w:val="0"/>
              <w:snapToGrid w:val="0"/>
              <w:jc w:val="center"/>
              <w:rPr>
                <w:rFonts w:ascii="宋体" w:hAnsi="宋体"/>
                <w:color w:val="000000"/>
                <w:sz w:val="24"/>
              </w:rPr>
            </w:pPr>
            <w:r w:rsidRPr="00CE5010">
              <w:rPr>
                <w:rFonts w:ascii="宋体" w:hAnsi="宋体" w:hint="eastAsia"/>
                <w:color w:val="000000"/>
                <w:sz w:val="24"/>
              </w:rPr>
              <w:t>营业收入</w:t>
            </w:r>
          </w:p>
        </w:tc>
        <w:tc>
          <w:tcPr>
            <w:tcW w:w="1431" w:type="pct"/>
          </w:tcPr>
          <w:p w14:paraId="7D95EF06" w14:textId="0291D8DC"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3,035,747,758.95</w:t>
            </w:r>
          </w:p>
        </w:tc>
        <w:tc>
          <w:tcPr>
            <w:tcW w:w="1350" w:type="pct"/>
          </w:tcPr>
          <w:p w14:paraId="4D4E1005" w14:textId="19DC3F92"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-860,432,960.78</w:t>
            </w:r>
          </w:p>
        </w:tc>
        <w:tc>
          <w:tcPr>
            <w:tcW w:w="1431" w:type="pct"/>
          </w:tcPr>
          <w:p w14:paraId="421777AB" w14:textId="02918F33"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2,175,314,798.17</w:t>
            </w:r>
          </w:p>
        </w:tc>
      </w:tr>
      <w:tr w:rsidR="00D5470E" w:rsidRPr="00CE5010" w14:paraId="5583983A" w14:textId="77777777" w:rsidTr="00D5470E">
        <w:tc>
          <w:tcPr>
            <w:tcW w:w="788" w:type="pct"/>
            <w:vAlign w:val="center"/>
          </w:tcPr>
          <w:p w14:paraId="42564110" w14:textId="77777777" w:rsidR="00D5470E" w:rsidRPr="00CE5010" w:rsidRDefault="00D5470E" w:rsidP="00D5470E">
            <w:pPr>
              <w:adjustRightInd w:val="0"/>
              <w:snapToGrid w:val="0"/>
              <w:jc w:val="center"/>
              <w:rPr>
                <w:rFonts w:ascii="宋体" w:hAnsi="宋体"/>
                <w:color w:val="000000"/>
                <w:sz w:val="24"/>
              </w:rPr>
            </w:pPr>
            <w:r w:rsidRPr="00CE5010">
              <w:rPr>
                <w:rFonts w:ascii="宋体" w:hAnsi="宋体" w:hint="eastAsia"/>
                <w:color w:val="000000"/>
                <w:sz w:val="24"/>
              </w:rPr>
              <w:t>营业成本</w:t>
            </w:r>
          </w:p>
        </w:tc>
        <w:tc>
          <w:tcPr>
            <w:tcW w:w="1431" w:type="pct"/>
          </w:tcPr>
          <w:p w14:paraId="52006F4F" w14:textId="1F5AD9B3"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2,770,560,800.64</w:t>
            </w:r>
          </w:p>
        </w:tc>
        <w:tc>
          <w:tcPr>
            <w:tcW w:w="1350" w:type="pct"/>
          </w:tcPr>
          <w:p w14:paraId="2CF55BEE" w14:textId="7013FC93"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-860,432,960.78</w:t>
            </w:r>
          </w:p>
        </w:tc>
        <w:tc>
          <w:tcPr>
            <w:tcW w:w="1431" w:type="pct"/>
          </w:tcPr>
          <w:p w14:paraId="2E52708E" w14:textId="6A602432" w:rsidR="00D5470E" w:rsidRPr="00CE5010" w:rsidRDefault="00D5470E" w:rsidP="00D5470E">
            <w:pPr>
              <w:adjustRightInd w:val="0"/>
              <w:snapToGrid w:val="0"/>
              <w:jc w:val="center"/>
              <w:rPr>
                <w:rFonts w:ascii="宋体" w:hAnsi="宋体"/>
                <w:color w:val="000000"/>
                <w:sz w:val="24"/>
              </w:rPr>
            </w:pPr>
            <w:r w:rsidRPr="00D5470E">
              <w:rPr>
                <w:rFonts w:ascii="宋体" w:hAnsi="宋体"/>
                <w:color w:val="000000"/>
                <w:sz w:val="24"/>
              </w:rPr>
              <w:t>1,910,127,839.86</w:t>
            </w:r>
          </w:p>
        </w:tc>
      </w:tr>
    </w:tbl>
    <w:p w14:paraId="7ED22F7D" w14:textId="77777777" w:rsidR="009A7554" w:rsidRPr="00CE5010" w:rsidRDefault="006C065B" w:rsidP="001F25DF">
      <w:pPr>
        <w:adjustRightInd w:val="0"/>
        <w:snapToGrid w:val="0"/>
        <w:spacing w:beforeLines="50" w:before="156" w:line="360" w:lineRule="auto"/>
        <w:rPr>
          <w:rFonts w:ascii="宋体" w:hAnsi="宋体"/>
          <w:b/>
          <w:bCs/>
          <w:color w:val="000000"/>
          <w:sz w:val="28"/>
          <w:szCs w:val="28"/>
        </w:rPr>
      </w:pPr>
      <w:r w:rsidRPr="00CE5010">
        <w:rPr>
          <w:rFonts w:ascii="宋体" w:hAnsi="宋体" w:hint="eastAsia"/>
          <w:b/>
          <w:bCs/>
          <w:color w:val="000000"/>
          <w:sz w:val="28"/>
          <w:szCs w:val="28"/>
        </w:rPr>
        <w:t>三、审计委员会审议情况及意见</w:t>
      </w:r>
    </w:p>
    <w:p w14:paraId="5B458AB5" w14:textId="6623DD6F" w:rsidR="009A7554" w:rsidRDefault="006C065B" w:rsidP="001F25DF">
      <w:pPr>
        <w:adjustRightInd w:val="0"/>
        <w:snapToGrid w:val="0"/>
        <w:spacing w:beforeLines="50" w:before="156" w:line="360" w:lineRule="auto"/>
        <w:ind w:firstLineChars="200" w:firstLine="560"/>
        <w:rPr>
          <w:rFonts w:ascii="宋体" w:hAnsi="宋体"/>
          <w:color w:val="000000"/>
          <w:sz w:val="28"/>
          <w:szCs w:val="28"/>
        </w:rPr>
      </w:pPr>
      <w:r w:rsidRPr="00CE5010">
        <w:rPr>
          <w:rFonts w:ascii="宋体" w:hAnsi="宋体" w:hint="eastAsia"/>
          <w:color w:val="000000"/>
          <w:sz w:val="28"/>
          <w:szCs w:val="28"/>
        </w:rPr>
        <w:t>202</w:t>
      </w:r>
      <w:r w:rsidRPr="00CE5010">
        <w:rPr>
          <w:rFonts w:ascii="宋体" w:hAnsi="宋体"/>
          <w:color w:val="000000"/>
          <w:sz w:val="28"/>
          <w:szCs w:val="28"/>
        </w:rPr>
        <w:t>6</w:t>
      </w:r>
      <w:r w:rsidRPr="00CE5010">
        <w:rPr>
          <w:rFonts w:ascii="宋体" w:hAnsi="宋体" w:hint="eastAsia"/>
          <w:color w:val="000000"/>
          <w:sz w:val="28"/>
          <w:szCs w:val="28"/>
        </w:rPr>
        <w:t>年</w:t>
      </w:r>
      <w:r w:rsidRPr="00CE5010">
        <w:rPr>
          <w:rFonts w:ascii="宋体" w:hAnsi="宋体"/>
          <w:color w:val="000000"/>
          <w:sz w:val="28"/>
          <w:szCs w:val="28"/>
        </w:rPr>
        <w:t>4</w:t>
      </w:r>
      <w:r w:rsidRPr="00CE5010">
        <w:rPr>
          <w:rFonts w:ascii="宋体" w:hAnsi="宋体" w:hint="eastAsia"/>
          <w:color w:val="000000"/>
          <w:sz w:val="28"/>
          <w:szCs w:val="28"/>
        </w:rPr>
        <w:t>月</w:t>
      </w:r>
      <w:r w:rsidRPr="00CE5010">
        <w:rPr>
          <w:rFonts w:ascii="宋体" w:hAnsi="宋体"/>
          <w:color w:val="000000"/>
          <w:sz w:val="28"/>
          <w:szCs w:val="28"/>
        </w:rPr>
        <w:t>15</w:t>
      </w:r>
      <w:r w:rsidRPr="00CE5010">
        <w:rPr>
          <w:rFonts w:ascii="宋体" w:hAnsi="宋体" w:hint="eastAsia"/>
          <w:color w:val="000000"/>
          <w:sz w:val="28"/>
          <w:szCs w:val="28"/>
        </w:rPr>
        <w:t>日，公司召开第四届董事会审计委员会第六次会议，审议通过了《关于前期会计差错更正的议案》。审计委员会认为</w:t>
      </w:r>
      <w:r>
        <w:rPr>
          <w:rFonts w:ascii="宋体" w:hAnsi="宋体" w:hint="eastAsia"/>
          <w:color w:val="000000"/>
          <w:sz w:val="28"/>
          <w:szCs w:val="28"/>
        </w:rPr>
        <w:t>：</w:t>
      </w:r>
      <w:r>
        <w:rPr>
          <w:rFonts w:ascii="宋体" w:hAnsi="宋体" w:hint="eastAsia"/>
          <w:color w:val="000000"/>
          <w:sz w:val="28"/>
          <w:szCs w:val="28"/>
        </w:rPr>
        <w:lastRenderedPageBreak/>
        <w:t>本次会计差错更正符合</w:t>
      </w:r>
      <w:r w:rsidR="00C87711">
        <w:rPr>
          <w:rFonts w:ascii="宋体" w:hAnsi="宋体" w:hint="eastAsia"/>
          <w:color w:val="000000"/>
          <w:sz w:val="28"/>
          <w:szCs w:val="28"/>
        </w:rPr>
        <w:t>《企业会计准则第28号-</w:t>
      </w:r>
      <w:r w:rsidR="00C87711">
        <w:rPr>
          <w:rFonts w:ascii="宋体" w:hAnsi="宋体"/>
          <w:color w:val="000000"/>
          <w:sz w:val="28"/>
          <w:szCs w:val="28"/>
        </w:rPr>
        <w:t>-</w:t>
      </w:r>
      <w:r w:rsidR="00C87711">
        <w:rPr>
          <w:rFonts w:ascii="宋体" w:hAnsi="宋体" w:hint="eastAsia"/>
          <w:color w:val="000000"/>
          <w:sz w:val="28"/>
          <w:szCs w:val="28"/>
        </w:rPr>
        <w:t>会计政策、会计估计变更和差错更正》《公开发行证券的公司信息披露编报规则第19号-</w:t>
      </w:r>
      <w:r w:rsidR="00C87711">
        <w:rPr>
          <w:rFonts w:ascii="宋体" w:hAnsi="宋体"/>
          <w:color w:val="000000"/>
          <w:sz w:val="28"/>
          <w:szCs w:val="28"/>
        </w:rPr>
        <w:t>-</w:t>
      </w:r>
      <w:r w:rsidR="00C87711">
        <w:rPr>
          <w:rFonts w:ascii="宋体" w:hAnsi="宋体" w:hint="eastAsia"/>
          <w:color w:val="000000"/>
          <w:sz w:val="28"/>
          <w:szCs w:val="28"/>
        </w:rPr>
        <w:t>财务信息的更正及相关披露》</w:t>
      </w:r>
      <w:r>
        <w:rPr>
          <w:rFonts w:ascii="宋体" w:hAnsi="宋体" w:hint="eastAsia"/>
          <w:color w:val="000000"/>
          <w:sz w:val="28"/>
          <w:szCs w:val="28"/>
        </w:rPr>
        <w:t>等相关规定和要求，更正后的财务信息能够更加客观、公允地反映公司财务状况和经营成果，不存在损害公司和股东利益，特别是中小股东利益的情形</w:t>
      </w:r>
      <w:r w:rsidR="00AB199A">
        <w:rPr>
          <w:rFonts w:ascii="宋体" w:hAnsi="宋体" w:hint="eastAsia"/>
          <w:color w:val="000000"/>
          <w:sz w:val="28"/>
          <w:szCs w:val="28"/>
        </w:rPr>
        <w:t>。</w:t>
      </w:r>
    </w:p>
    <w:p w14:paraId="4D59F636" w14:textId="77777777" w:rsidR="009A7554" w:rsidRDefault="009A7554" w:rsidP="001F25DF">
      <w:pPr>
        <w:adjustRightInd w:val="0"/>
        <w:snapToGrid w:val="0"/>
        <w:spacing w:beforeLines="50" w:before="156" w:line="360" w:lineRule="auto"/>
        <w:ind w:firstLineChars="200" w:firstLine="560"/>
        <w:rPr>
          <w:rFonts w:ascii="宋体" w:hAnsi="宋体"/>
          <w:color w:val="000000"/>
          <w:sz w:val="28"/>
          <w:szCs w:val="28"/>
        </w:rPr>
      </w:pPr>
    </w:p>
    <w:p w14:paraId="524AEDFF" w14:textId="77777777" w:rsidR="009A7554" w:rsidRDefault="006C065B" w:rsidP="001F25DF">
      <w:pPr>
        <w:adjustRightInd w:val="0"/>
        <w:snapToGrid w:val="0"/>
        <w:spacing w:beforeLines="50" w:before="156" w:line="360" w:lineRule="auto"/>
        <w:ind w:firstLineChars="200" w:firstLine="560"/>
        <w:rPr>
          <w:rFonts w:ascii="宋体" w:hAnsi="宋体"/>
          <w:color w:val="000000"/>
          <w:sz w:val="28"/>
          <w:szCs w:val="28"/>
        </w:rPr>
      </w:pPr>
      <w:r>
        <w:rPr>
          <w:rFonts w:ascii="宋体" w:hAnsi="宋体" w:hint="eastAsia"/>
          <w:color w:val="000000"/>
          <w:sz w:val="28"/>
          <w:szCs w:val="28"/>
        </w:rPr>
        <w:t>特此公告。</w:t>
      </w:r>
    </w:p>
    <w:p w14:paraId="7E49E911" w14:textId="77777777" w:rsidR="009A7554" w:rsidRDefault="009A7554" w:rsidP="001F25DF">
      <w:pPr>
        <w:adjustRightInd w:val="0"/>
        <w:snapToGrid w:val="0"/>
        <w:spacing w:beforeLines="50" w:before="156" w:line="360" w:lineRule="auto"/>
        <w:ind w:firstLineChars="200" w:firstLine="560"/>
        <w:rPr>
          <w:rFonts w:ascii="宋体" w:hAnsi="宋体"/>
          <w:color w:val="000000"/>
          <w:sz w:val="28"/>
          <w:szCs w:val="28"/>
        </w:rPr>
      </w:pPr>
    </w:p>
    <w:p w14:paraId="1F992163" w14:textId="77777777" w:rsidR="009A7554" w:rsidRDefault="006C065B" w:rsidP="001F25DF">
      <w:pPr>
        <w:adjustRightInd w:val="0"/>
        <w:snapToGrid w:val="0"/>
        <w:spacing w:beforeLines="50" w:before="156" w:line="360" w:lineRule="auto"/>
        <w:ind w:left="420" w:right="120"/>
        <w:jc w:val="right"/>
        <w:rPr>
          <w:rFonts w:ascii="宋体" w:hAnsi="宋体"/>
          <w:color w:val="000000"/>
          <w:sz w:val="28"/>
          <w:szCs w:val="28"/>
        </w:rPr>
      </w:pPr>
      <w:r>
        <w:rPr>
          <w:rFonts w:ascii="宋体" w:hAnsi="宋体" w:hint="eastAsia"/>
          <w:color w:val="000000"/>
          <w:sz w:val="28"/>
          <w:szCs w:val="28"/>
        </w:rPr>
        <w:t>深圳市有方科技股份有限公司董事会</w:t>
      </w:r>
    </w:p>
    <w:p w14:paraId="7295D7FC" w14:textId="77777777" w:rsidR="009A7554" w:rsidRDefault="006C065B" w:rsidP="001F25DF">
      <w:pPr>
        <w:snapToGrid w:val="0"/>
        <w:spacing w:beforeLines="50" w:before="156" w:line="360" w:lineRule="auto"/>
        <w:ind w:left="420" w:right="240"/>
        <w:jc w:val="right"/>
        <w:rPr>
          <w:sz w:val="28"/>
          <w:szCs w:val="28"/>
        </w:rPr>
      </w:pPr>
      <w:r>
        <w:rPr>
          <w:rFonts w:ascii="宋体" w:hAnsi="宋体" w:hint="eastAsia"/>
          <w:color w:val="000000"/>
          <w:sz w:val="28"/>
          <w:szCs w:val="28"/>
        </w:rPr>
        <w:t>202</w:t>
      </w:r>
      <w:r>
        <w:rPr>
          <w:rFonts w:ascii="宋体" w:hAnsi="宋体"/>
          <w:color w:val="000000"/>
          <w:sz w:val="28"/>
          <w:szCs w:val="28"/>
        </w:rPr>
        <w:t>6</w:t>
      </w:r>
      <w:r>
        <w:rPr>
          <w:rFonts w:ascii="宋体" w:hAnsi="宋体" w:hint="eastAsia"/>
          <w:color w:val="000000"/>
          <w:sz w:val="28"/>
          <w:szCs w:val="28"/>
        </w:rPr>
        <w:t>年4月</w:t>
      </w:r>
      <w:r>
        <w:rPr>
          <w:rFonts w:ascii="宋体" w:hAnsi="宋体"/>
          <w:color w:val="000000"/>
          <w:sz w:val="28"/>
          <w:szCs w:val="28"/>
        </w:rPr>
        <w:t>30</w:t>
      </w:r>
      <w:r>
        <w:rPr>
          <w:rFonts w:ascii="宋体" w:hAnsi="宋体" w:hint="eastAsia"/>
          <w:color w:val="000000"/>
          <w:sz w:val="28"/>
          <w:szCs w:val="28"/>
        </w:rPr>
        <w:t>日</w:t>
      </w:r>
    </w:p>
    <w:sectPr w:rsidR="009A75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217D9" w14:textId="77777777" w:rsidR="00145E98" w:rsidRDefault="00145E98" w:rsidP="000856C0">
      <w:r>
        <w:separator/>
      </w:r>
    </w:p>
  </w:endnote>
  <w:endnote w:type="continuationSeparator" w:id="0">
    <w:p w14:paraId="31C2B648" w14:textId="77777777" w:rsidR="00145E98" w:rsidRDefault="00145E98" w:rsidP="0008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729AF" w14:textId="77777777" w:rsidR="00145E98" w:rsidRDefault="00145E98" w:rsidP="000856C0">
      <w:r>
        <w:separator/>
      </w:r>
    </w:p>
  </w:footnote>
  <w:footnote w:type="continuationSeparator" w:id="0">
    <w:p w14:paraId="2FAB2969" w14:textId="77777777" w:rsidR="00145E98" w:rsidRDefault="00145E98" w:rsidP="000856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D0067"/>
    <w:multiLevelType w:val="singleLevel"/>
    <w:tmpl w:val="127D0067"/>
    <w:lvl w:ilvl="0">
      <w:start w:val="1"/>
      <w:numFmt w:val="bullet"/>
      <w:lvlText w:val=""/>
      <w:lvlJc w:val="left"/>
      <w:pPr>
        <w:tabs>
          <w:tab w:val="left" w:pos="420"/>
        </w:tabs>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CB"/>
    <w:rsid w:val="00011A11"/>
    <w:rsid w:val="00043554"/>
    <w:rsid w:val="0006666D"/>
    <w:rsid w:val="000856C0"/>
    <w:rsid w:val="00097D2E"/>
    <w:rsid w:val="000B5682"/>
    <w:rsid w:val="00104E3D"/>
    <w:rsid w:val="00145E98"/>
    <w:rsid w:val="00182C51"/>
    <w:rsid w:val="001B2FD7"/>
    <w:rsid w:val="001D0053"/>
    <w:rsid w:val="001D1A8B"/>
    <w:rsid w:val="001F25DF"/>
    <w:rsid w:val="002508B3"/>
    <w:rsid w:val="002738C1"/>
    <w:rsid w:val="002A17DC"/>
    <w:rsid w:val="002D1B9B"/>
    <w:rsid w:val="002F2156"/>
    <w:rsid w:val="00306BE5"/>
    <w:rsid w:val="00355E7F"/>
    <w:rsid w:val="003B5108"/>
    <w:rsid w:val="00411C5C"/>
    <w:rsid w:val="0042784E"/>
    <w:rsid w:val="004421E9"/>
    <w:rsid w:val="00442571"/>
    <w:rsid w:val="004B2EFE"/>
    <w:rsid w:val="004B687A"/>
    <w:rsid w:val="004C3593"/>
    <w:rsid w:val="004D12AC"/>
    <w:rsid w:val="004E2F3D"/>
    <w:rsid w:val="004E7952"/>
    <w:rsid w:val="004F45A6"/>
    <w:rsid w:val="005607ED"/>
    <w:rsid w:val="00571AB9"/>
    <w:rsid w:val="005D14EF"/>
    <w:rsid w:val="006063E8"/>
    <w:rsid w:val="00640543"/>
    <w:rsid w:val="00640662"/>
    <w:rsid w:val="00651F7D"/>
    <w:rsid w:val="00652E12"/>
    <w:rsid w:val="00683FCB"/>
    <w:rsid w:val="006972AF"/>
    <w:rsid w:val="00697799"/>
    <w:rsid w:val="006B20F0"/>
    <w:rsid w:val="006C065B"/>
    <w:rsid w:val="006E3A0E"/>
    <w:rsid w:val="006F3DC9"/>
    <w:rsid w:val="00744030"/>
    <w:rsid w:val="007617C4"/>
    <w:rsid w:val="007628B4"/>
    <w:rsid w:val="00767578"/>
    <w:rsid w:val="00767D12"/>
    <w:rsid w:val="007968FA"/>
    <w:rsid w:val="007B5C54"/>
    <w:rsid w:val="007C68BD"/>
    <w:rsid w:val="00861EC5"/>
    <w:rsid w:val="00863596"/>
    <w:rsid w:val="00903D6D"/>
    <w:rsid w:val="009122A9"/>
    <w:rsid w:val="00934332"/>
    <w:rsid w:val="00954288"/>
    <w:rsid w:val="009A0024"/>
    <w:rsid w:val="009A7554"/>
    <w:rsid w:val="009D1D38"/>
    <w:rsid w:val="009F2ED1"/>
    <w:rsid w:val="00A201FE"/>
    <w:rsid w:val="00A31E80"/>
    <w:rsid w:val="00A56BF0"/>
    <w:rsid w:val="00AB0AC3"/>
    <w:rsid w:val="00AB199A"/>
    <w:rsid w:val="00B04DB1"/>
    <w:rsid w:val="00B2713E"/>
    <w:rsid w:val="00B3417F"/>
    <w:rsid w:val="00B36809"/>
    <w:rsid w:val="00BB0E15"/>
    <w:rsid w:val="00BC5139"/>
    <w:rsid w:val="00BF6699"/>
    <w:rsid w:val="00C07C66"/>
    <w:rsid w:val="00C87711"/>
    <w:rsid w:val="00CA34B5"/>
    <w:rsid w:val="00CD7E07"/>
    <w:rsid w:val="00CE5010"/>
    <w:rsid w:val="00CF11E2"/>
    <w:rsid w:val="00D059A9"/>
    <w:rsid w:val="00D1002C"/>
    <w:rsid w:val="00D20312"/>
    <w:rsid w:val="00D3000B"/>
    <w:rsid w:val="00D5470E"/>
    <w:rsid w:val="00DE64DF"/>
    <w:rsid w:val="00E235D1"/>
    <w:rsid w:val="00E33D4B"/>
    <w:rsid w:val="00E36F06"/>
    <w:rsid w:val="00E40E97"/>
    <w:rsid w:val="00E64E4B"/>
    <w:rsid w:val="00E84F11"/>
    <w:rsid w:val="00E9400F"/>
    <w:rsid w:val="00EA7EE9"/>
    <w:rsid w:val="00EE321A"/>
    <w:rsid w:val="00EF4A8A"/>
    <w:rsid w:val="00F17516"/>
    <w:rsid w:val="00F23DA5"/>
    <w:rsid w:val="00F6786A"/>
    <w:rsid w:val="00F8322E"/>
    <w:rsid w:val="00F87603"/>
    <w:rsid w:val="00FA443F"/>
    <w:rsid w:val="00FE33A5"/>
    <w:rsid w:val="2B1873AD"/>
    <w:rsid w:val="415F0503"/>
    <w:rsid w:val="77E51370"/>
    <w:rsid w:val="77F80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C66E8"/>
  <w15:docId w15:val="{4AF537B6-0AC0-4665-B0D1-2C9844162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Title"/>
    <w:basedOn w:val="a"/>
    <w:next w:val="a"/>
    <w:link w:val="Char1"/>
    <w:qFormat/>
    <w:pPr>
      <w:spacing w:before="240" w:after="60"/>
      <w:jc w:val="center"/>
      <w:outlineLvl w:val="0"/>
    </w:pPr>
    <w:rPr>
      <w:rFonts w:ascii="Cambria" w:hAnsi="Cambria"/>
      <w:b/>
      <w:bCs/>
      <w:sz w:val="32"/>
      <w:szCs w:val="32"/>
    </w:rPr>
  </w:style>
  <w:style w:type="table" w:styleId="a7">
    <w:name w:val="Table Grid"/>
    <w:basedOn w:val="a1"/>
    <w:uiPriority w:val="5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标题 Char"/>
    <w:basedOn w:val="a0"/>
    <w:link w:val="a6"/>
    <w:rPr>
      <w:rFonts w:ascii="Cambria" w:eastAsia="宋体" w:hAnsi="Cambria" w:cs="Times New Roman"/>
      <w:b/>
      <w:bCs/>
      <w:sz w:val="32"/>
      <w:szCs w:val="32"/>
    </w:rPr>
  </w:style>
  <w:style w:type="character" w:customStyle="1" w:styleId="Char0">
    <w:name w:val="页眉 Char"/>
    <w:basedOn w:val="a0"/>
    <w:link w:val="a5"/>
    <w:uiPriority w:val="99"/>
    <w:rPr>
      <w:rFonts w:ascii="Times New Roman" w:eastAsia="宋体" w:hAnsi="Times New Roman" w:cs="Times New Roman"/>
      <w:sz w:val="18"/>
      <w:szCs w:val="18"/>
    </w:rPr>
  </w:style>
  <w:style w:type="character" w:customStyle="1" w:styleId="Char">
    <w:name w:val="页脚 Char"/>
    <w:basedOn w:val="a0"/>
    <w:link w:val="a4"/>
    <w:uiPriority w:val="99"/>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 w:type="character" w:styleId="a9">
    <w:name w:val="annotation reference"/>
    <w:basedOn w:val="a0"/>
    <w:uiPriority w:val="99"/>
    <w:semiHidden/>
    <w:unhideWhenUsed/>
    <w:rPr>
      <w:sz w:val="21"/>
      <w:szCs w:val="21"/>
    </w:rPr>
  </w:style>
  <w:style w:type="paragraph" w:styleId="aa">
    <w:name w:val="Balloon Text"/>
    <w:basedOn w:val="a"/>
    <w:link w:val="Char2"/>
    <w:uiPriority w:val="99"/>
    <w:semiHidden/>
    <w:unhideWhenUsed/>
    <w:rsid w:val="006C065B"/>
    <w:rPr>
      <w:sz w:val="18"/>
      <w:szCs w:val="18"/>
    </w:rPr>
  </w:style>
  <w:style w:type="character" w:customStyle="1" w:styleId="Char2">
    <w:name w:val="批注框文本 Char"/>
    <w:basedOn w:val="a0"/>
    <w:link w:val="aa"/>
    <w:uiPriority w:val="99"/>
    <w:semiHidden/>
    <w:rsid w:val="006C065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327</Words>
  <Characters>1869</Characters>
  <Application>Microsoft Office Word</Application>
  <DocSecurity>0</DocSecurity>
  <Lines>15</Lines>
  <Paragraphs>4</Paragraphs>
  <ScaleCrop>false</ScaleCrop>
  <Company>sse</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李子瑞</dc:creator>
  <cp:lastModifiedBy>郑妍</cp:lastModifiedBy>
  <cp:revision>11</cp:revision>
  <dcterms:created xsi:type="dcterms:W3CDTF">2026-04-27T10:47:00Z</dcterms:created>
  <dcterms:modified xsi:type="dcterms:W3CDTF">2026-04-28T11:49:00Z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eyJoZGlkIjoiMzEwNTM5NzYwMDRjMzkwZTVkZjY2ODkwMGIxNGU0OTUiLCJ1c2VySWQiOiIzODY2MjY2MzQifQ==</vt:lpwstr>
  </property>
  <property fmtid="{D5CDD505-2E9C-101B-9397-08002B2CF9AE}" pid="3" name="KSOProductBuildVer">
    <vt:lpwstr>2052-12.1.0.25865</vt:lpwstr>
  </property>
  <property fmtid="{D5CDD505-2E9C-101B-9397-08002B2CF9AE}" pid="4" name="ICV">
    <vt:lpwstr>4A99B4CB7E2F4ABEB7BAB87453DCF6B9_12</vt:lpwstr>
  </property>
</Properties>
</file>